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ATA/177/2012 vom 28. März 2012</w:t>
      </w:r>
    </w:p>
    <w:p>
      <w:r>
        <w:t>GE Cour de justice, 2012-03-28, FR</w:t>
      </w:r>
    </w:p>
    <w:p>
      <w:r>
        <w:rPr>
          <w:b/>
        </w:rPr>
        <w:t xml:space="preserve">Quelle: </w:t>
      </w:r>
      <w:r>
        <w:t>https://mcp.opencaselaw.ch/entscheid/ge_gerichte_ATA_177_2012</w:t>
      </w:r>
    </w:p>
    <w:p>
      <w:r>
        <w:t>FR: GE_GERICHTE ATA/177/2012 du 28 mars 2012</w:t>
      </w:r>
    </w:p>
    <w:p>
      <w:r>
        <w:t>IT: GE_GERICHTE ATA/177/2012 del 28 marzo 2012</w:t>
      </w:r>
    </w:p>
    <w:p>
      <w:pPr>
        <w:pStyle w:val="Heading2"/>
      </w:pPr>
      <w:r>
        <w:t>Erwägungen</w:t>
      </w:r>
    </w:p>
    <w:p>
      <w:r>
        <w:rPr>
          <w:b/>
        </w:rPr>
        <w:t>E. 1</w:t>
      </w:r>
    </w:p>
    <w:p>
      <w:r>
        <w:t>Interjeté en temps utile devant la juridiction compétente, le recours est recevable de ce point de vue (art. 132 de la loi sur l'organisation judiciaire - LOJ - E 2 05 ; art. 62 al. 1 let. a de la loi sur la procédure administrative du 12 septembre 1985 - LPA - E 5 10).</w:t>
      </w:r>
    </w:p>
    <w:p>
      <w:r>
        <w:rPr>
          <w:b/>
        </w:rPr>
        <w:t>E. 2</w:t>
      </w:r>
    </w:p>
    <w:p>
      <w:r>
        <w:t>Selon l’art. 10 al. 2 de la loi d'application de la loi fédérale sur les étrangers du 16 juin 1988 (LaLEtr - F 2 10), la chambre administrative doit statuer dans les dix jours qui suivent sa saisine. En prononçant le présent arrêt ce jour, elle respecte ce délai.</w:t>
      </w:r>
    </w:p>
    <w:p>
      <w:r>
        <w:rPr>
          <w:b/>
        </w:rPr>
        <w:t>E. 3</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La simple supposition qu’une personne pourrait se soustraire au renvoi ne suffit pas à admettre un risque de disparition. Il convient de se fonder sur la conduite que l'intéressé a eue jusque-là. Les indices d'un danger de fuite peuvent être l'absence de domicile fixe, de relations établies, de moyens de subsistance ou de papiers d'identité, mais ces circonstances ne pouvaient pas justifier, à elles seules, la détention (ATF 129 I p. 139, consid. 4.2.1, pp. 146 ss).</w:t>
      </w:r>
    </w:p>
    <w:p>
      <w:r>
        <w:t>En l’espèce, le recourant dispose d’un passeport en cours de validité et d’un titre de séjour en Italie. Il ressort du dossier qu’il souhaite se rendre en France pour visiter sa famille mais est disposé à retourner en Italie. Jusqu’à la notification le 5 mars 2012 de la décision de renvoi de Suisse, il pouvait circuler, voire séjourner dans ce pays dans la limite de l’Accord entre la Confédération suisse, l’Union européenne et la Communauté européenne sur l’association de la Confédération suisse à la mise en œuvre, à l’application et au développement de l’acquis de Schengen conclu le 26 octobre 2004 (RS 0.362.31), le fait de vouloir le traverser pour se rendre en France n’ayant en soi rien d’insolite au vu des données géographiques. Sauf à tomber dans l’arbitraire, on ne peut ainsi inférer de sa seule présence le 5 mars 2012 à Genève qu’il entendait demeurer en Suisse.</w:t>
      </w:r>
    </w:p>
    <w:p>
      <w:r>
        <w:t>Sa mise en détention administrative a été ordonnée le même jour que la notification de la décision de renvoi, en l’absence de tout acte d’opposition de la</w:t>
      </w:r>
    </w:p>
    <w:p>
      <w:r>
        <w:t>- 5/6 - A/731/2012 part de l’intéressé et sans qu’aucune infraction nouvelle lui soit reprochée. Force est ainsi de constater qu’au moment où il a pris sa décision, l’officier de police ne pouvait retenir l’existence d’un risque de fuite ou de soustraction au sens des art. 76 al. 1 let. b ch. 3 et 4 de la LEtr. Au vu des éléments du dossier, dont il ne ressort pas que le recourant ne pourrait se rendre librement dans tout Etat limitrophe de la Suisse, ni qu’il ait refusé de le faire pour demeurer en Suisse, le TAPI ne pouvait davantage confirmer l’ordre de mise en détention, ce dernier n’étant pas conforme au droit.</w:t>
      </w:r>
    </w:p>
    <w:p>
      <w:r>
        <w:rPr>
          <w:b/>
        </w:rPr>
        <w:t>E. 4</w:t>
      </w:r>
    </w:p>
    <w:p>
      <w:r>
        <w:t>Au vu de ce qui précède, le recours sera admis. Le jugement querellé sera annulé et le recourant sera immédiatement remis en liberté.</w:t>
      </w:r>
    </w:p>
    <w:p>
      <w:r>
        <w:t>Vu l’issue du litige, aucun émolument ne sera perçu et une indemnité de procédure de CHF 1'000.- sera allouée au recourant, à la charge de l’Etat de Genève (art. 87 LPA et 10 et 11 al. 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