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ATA/176/2009 vom 7. April 2009</w:t>
      </w:r>
    </w:p>
    <w:p>
      <w:r>
        <w:t>GE Cour de justice, 2009-04-07, FR</w:t>
      </w:r>
    </w:p>
    <w:p>
      <w:r>
        <w:rPr>
          <w:b/>
        </w:rPr>
        <w:t xml:space="preserve">Quelle: </w:t>
      </w:r>
      <w:r>
        <w:t>https://mcp.opencaselaw.ch/entscheid/ge_gerichte_ATA_176_2009</w:t>
      </w:r>
    </w:p>
    <w:p>
      <w:r>
        <w:t>FR: GE_GERICHTE ATA/176/2009 du 7 avril 2009</w:t>
      </w:r>
    </w:p>
    <w:p>
      <w:r>
        <w:t>IT: GE_GERICHTE ATA/176/2009 del 7 aprile 2009</w:t>
      </w:r>
    </w:p>
    <w:p>
      <w:pPr>
        <w:pStyle w:val="Heading2"/>
      </w:pPr>
      <w:r>
        <w:t>Erwägungen</w:t>
      </w:r>
    </w:p>
    <w:p>
      <w:r>
        <w:rPr>
          <w:b/>
        </w:rPr>
        <w:t>E. 1</w:t>
      </w:r>
    </w:p>
    <w:p>
      <w:r>
        <w:t>Interjeté en temps utile devant la juridiction compétente, le recours est recevable (art. 88 LDFR ; art. 56A de la loi sur l'organisation judiciaire du</w:t>
      </w:r>
    </w:p>
    <w:p>
      <w:r>
        <w:t>- 9/12 - A/2863/2008 22 novembre 1941 – LOJ – E 2 05 ; art. 13 de la loi d’application de la loi fédérale sur le droit foncier rural – LALDFR – M 1 10 ).</w:t>
      </w:r>
    </w:p>
    <w:p>
      <w:r>
        <w:t>L’application de la LDFR au présent litige n’est ni litigieuse ni contestable (art. 2 al. 1 LDFR).</w:t>
      </w:r>
    </w:p>
    <w:p>
      <w:r>
        <w:rPr>
          <w:b/>
        </w:rPr>
        <w:t>E. 2</w:t>
      </w:r>
    </w:p>
    <w:p>
      <w:r>
        <w:t>Les conclusions prises par la commune devant la CFA dans ses écritures des 30 octobre et 28 novembre 2007 correspondent exactement à celles énoncées devant le Tribunal administratif le 5 août 2008, de telle sorte que les griefs de M. Laeser à ce sujet ne peuvent qu’être rejetés.</w:t>
      </w:r>
    </w:p>
    <w:p>
      <w:r>
        <w:rPr>
          <w:b/>
        </w:rPr>
        <w:t>E. 3</w:t>
      </w:r>
    </w:p>
    <w:p>
      <w:r>
        <w:t>La lecture du rapport final du PDC de janvier 2007 notamment celle des pages 120 et 121, établit que si la parcelle n° 2555 est comprise dans le projet du nouveau village, cette hypothèse de travail doit faire l’objet d’un plan localisé de quartier (PLQ). Or, précisément, l’ACE approuvant le PDC en question réserve l’approfondissement de l’option d’extension prévue au sud-ouest du village. En l’état, la question de savoir si la parcelle n° 2555 est concernée par le PDC souffre de rester ouverte.</w:t>
      </w:r>
    </w:p>
    <w:p>
      <w:r>
        <w:rPr>
          <w:b/>
        </w:rPr>
        <w:t>E. 4</w:t>
      </w:r>
    </w:p>
    <w:p>
      <w:r>
        <w:t>En tant que la commune discute l’absence de justification d’une expertise dans le cas d’espèce ainsi que la pratique de la CFA concernant la priorité de l’offre au prix « raisonnable », il s’agit d’un seul et même grief.</w:t>
      </w:r>
    </w:p>
    <w:p>
      <w:r>
        <w:rPr>
          <w:b/>
        </w:rPr>
        <w:t>E. 5</w:t>
      </w:r>
    </w:p>
    <w:p>
      <w:r>
        <w:t>Selon l’article 63 LDFR, l’acquisition d’une entreprise ou d’un immeuble agricole est refusée lorsque :</w:t>
      </w:r>
    </w:p>
    <w:p>
      <w:r>
        <w:t>a. l’acquéreur n’est pas exploitant à titre personnel ;</w:t>
      </w:r>
    </w:p>
    <w:p>
      <w:r>
        <w:t>b. le prix convenu est surfait ;</w:t>
      </w:r>
    </w:p>
    <w:p>
      <w:r>
        <w:t>(…).</w:t>
      </w:r>
    </w:p>
    <w:p>
      <w:r>
        <w:rPr>
          <w:b/>
        </w:rPr>
        <w:t>E. 6</w:t>
      </w:r>
    </w:p>
    <w:p>
      <w:r>
        <w:t>Le premier motif de refus (l’acheteur n’est pas exploitant à titre personnel) n’est pas absolu. Il comporte des exceptions dont la liste figure à l’article 64 LDFR, qu’il est prématuré d’examiner ici.</w:t>
      </w:r>
    </w:p>
    <w:p>
      <w:r>
        <w:rPr>
          <w:b/>
        </w:rPr>
        <w:t>E. 7</w:t>
      </w:r>
    </w:p>
    <w:p>
      <w:r>
        <w:t>En revanche, la doctrine et la jurisprudence considèrent le deuxième motif (interdiction d’un prix surfait) comme absolu (hormis les cas d’exécution forcée visés à l’art. 63 al. 2 LDFR ; B. STALDER, Commentaire de la loi fédérale sur le droit foncier rural, ad. art. 63 LDFR, Brugg 1998, p. 603, n° 10 ; ATA/VD du</w:t>
      </w:r>
    </w:p>
    <w:p>
      <w:r>
        <w:rPr>
          <w:b/>
        </w:rPr>
        <w:t>E. 11</w:t>
      </w:r>
    </w:p>
    <w:p>
      <w:r>
        <w:t>février 2004/FO.2003.0015).</w:t>
      </w:r>
    </w:p>
    <w:p>
      <w:r>
        <w:t>Un prix d’acquisition est considéré comme « surfait », selon l’article 66 LDFR, lorsqu’il dépasse de plus de 5 % le prix payé « en moyenne » pour des entreprises ou des immeubles « comparables » de la « même région » au cours des cinq dernières années.</w:t>
      </w:r>
    </w:p>
    <w:p>
      <w:r>
        <w:t>- 10/12 - A/2863/2008</w:t>
      </w:r>
    </w:p>
    <w:p>
      <w:r>
        <w:t>Dans son arrêt du 4 octobre 2005, le Tribunal administratif a laissé ouverte la question de savoir si, d’une manière générale, la pratique de la CFA de fixer indistinctement la limite du prix surfait pour tous les terrains du canton de Genève destinés à l’agriculture à CHF 8.- le m2 était conforme au principe de la légalité, en retenant que dans le cas qu’il lui était alors soumis, les terrains se situaient dans l’enclave de Céligny, au milieu de la partie sud du district de Nyon dans laquelle les limites de prix avaient dû être établies conformément à l’article 66 LDFR. En effet, selon la pratique vaudoise, des tabelles de prix moyens sont établies qui constituent la référence de base et, pour déterminer à quelle catégorie exacte de terrains la parcelle mise en vente doit être comparée, la CFA vaudoise procède en sus à une expertise. Le tribunal de céans a estimé que cette méthode apparaissait satisfaisante et conforme au droit fédéral. Sur le territoire du canton de Genève, la CFA déclarait elle-même que sa méthode de calcul du prix surfait des terrains, faute d’éléments de comparaison suffisants avec d’autre terrains de qualité équivalente, n’était qu’un pis-aller dans l’application de l’article 66 LDFR. La cause était renvoyée à la CFA pour qu’elle procède à une évaluation du prix maximum licite des terrains litigieux.</w:t>
      </w:r>
    </w:p>
    <w:p>
      <w:r>
        <w:t>En l’espèce, la CFA a fait une juste lecture de l’arrêt précité en estimant que la limite du prix surfait ne pouvait pas être établie avec précision vu le peu de ventes réalisées à Genève au cours des cinq dernières années. Elle a donc pris la décision d’ordonner une expertise, ce que les propriétaires ont refusé.</w:t>
      </w:r>
    </w:p>
    <w:p>
      <w:r>
        <w:t>Au-delà de la querelle doctrinale exposée par la commune, il apparaît qu’en l’espèce le recours à une expertise est absolument indispensable. C’est à tort que la CFA a renoncé à cette mesure dès lors que les propriétaires s’y opposaient. En effet, en sa qualité d’autorité administrative, il appartenait à la CFA de procéder selon la maxime d’office. En d’autres termes, elle n’avait absolument pas besoin de l’accord des parties pour ordonner cette mesure d’instruction. Cette constatation s’impose d’autant plus en l’espèce où elle ne semble pas avoir considéré les consorts Gallay comme parties à la présente cause.</w:t>
      </w:r>
    </w:p>
    <w:p>
      <w:r>
        <w:t>Il s’ensuit que le dossier sera renvoyé à la CFA pour qu’elle ordonne l’expertise de la parcelle n° 2555 aux fins d’en déterminer la valeur vénale, après appel en cause des propriétaires.</w:t>
      </w:r>
    </w:p>
    <w:p>
      <w:r>
        <w:t>Vu l’issue du litige, deux émoluments de CHF 500.- seront mis l’un à la charge de la commune et le second à celle de la CFA. Il ne sera pas alloué d’indemnité de procédure (art. 87 LPA).</w:t>
      </w:r>
    </w:p>
    <w:p>
      <w:r>
        <w:t>* * * * *</w:t>
      </w:r>
    </w:p>
    <w:p>
      <w:r>
        <w:t>- 11/12 - A/2863/2008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