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ATA/175/2017 vom 9. Februar 2017</w:t>
      </w:r>
    </w:p>
    <w:p>
      <w:r>
        <w:t>GE Cour de justice, 2017-02-09, FR</w:t>
      </w:r>
    </w:p>
    <w:p>
      <w:r>
        <w:rPr>
          <w:b/>
        </w:rPr>
        <w:t xml:space="preserve">Quelle: </w:t>
      </w:r>
      <w:r>
        <w:t>https://mcp.opencaselaw.ch/entscheid/ge_gerichte_ATA_175_2017</w:t>
      </w:r>
    </w:p>
    <w:p>
      <w:r>
        <w:t>FR: GE_GERICHTE ATA/175/2017 du 9 février 2017</w:t>
      </w:r>
    </w:p>
    <w:p>
      <w:r>
        <w:t>IT: GE_GERICHTE ATA/175/2017 del 9 febbraio 2017</w:t>
      </w:r>
    </w:p>
    <w:p>
      <w:pPr>
        <w:pStyle w:val="Heading2"/>
      </w:pPr>
      <w:r>
        <w:t>Erwägungen</w:t>
      </w:r>
    </w:p>
    <w:p>
      <w:r>
        <w:rPr>
          <w:b/>
        </w:rPr>
        <w:t>E.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w:t>
      </w:r>
    </w:p>
    <w:p>
      <w:r>
        <w:rPr>
          <w:b/>
        </w:rPr>
        <w:t>E. 2</w:t>
      </w:r>
    </w:p>
    <w:p>
      <w:r>
        <w:t>Sauf disposition légale contraire, le recours a effet suspensif à moins que l’autorité qui a pris la décision attaquée n’ait ordonné l’exécution nonobstant recours (art. 66 al. 1 de la loi sur la procédure administrative du 12 septembre 1985 (LPA - E 5 10).</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w:t>
      </w:r>
    </w:p>
    <w:p>
      <w:r>
        <w:rPr>
          <w:b/>
        </w:rPr>
        <w:t>E. 3</w:t>
      </w:r>
    </w:p>
    <w:p>
      <w:r>
        <w:t>Selon la jurisprudence constante de la chambre administrative, des mesures provisionnelles – au nombre desquelles compte la restitution de l'effet suspensif</w:t>
      </w:r>
    </w:p>
    <w:p>
      <w:r>
        <w:t>- 10/13 - A/4420/2016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w:t>
      </w:r>
    </w:p>
    <w:p>
      <w:r>
        <w:rPr>
          <w:b/>
        </w:rPr>
        <w:t>E. 4</w:t>
      </w:r>
    </w:p>
    <w:p>
      <w:r>
        <w:t>L'octroi de mesures provisionnelles présuppose l'urgence, à savoir que le refus de les ordonner crée pour l'intéressé la menace d'un dommage difficile à réparer (ATF 130 II 149 consid. 2.2 ; 127 II 132 consid. 3 = RDAF 2002 I 405).</w:t>
      </w:r>
    </w:p>
    <w:p>
      <w:r>
        <w:t>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 Cléa BOUCHAT, l’effet suspensif en procédure administrative, 2015, p. 21 n. 50).</w:t>
      </w:r>
    </w:p>
    <w:p>
      <w:r>
        <w:rPr>
          <w:b/>
        </w:rPr>
        <w:t>E. 5</w:t>
      </w:r>
    </w:p>
    <w:p>
      <w:r>
        <w:t>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6</w:t>
      </w:r>
    </w:p>
    <w:p>
      <w:r>
        <w:t>C’est à tort que l’autorité intimée demande que les pièces tirées de la procédure pénale produites par le recourant soient écartées de la procédure. Pour permettre la mise en œuvre de la garantie d’accès au juge découlant de l’art. 29a de la Constitution fédérale de la Confédération suisse du 18 avril 1999 (Cst. - RS 101) ou de l’art. 6 § 1 de la Convention de sauvegarde des droits de l’homme et des libertés</w:t>
      </w:r>
    </w:p>
    <w:p>
      <w:r>
        <w:t>- 11/13 - A/4420/2016 fondamentales du 4 novembre 1950 (CEDH - RS 0.101), il doit être admis que l’administré qui recourt puisse faire valoir devant l’instance de recours saisie tous ses moyens de preuve, qu’il s’agisse, pour la production de preuves documentaires, de pièces non produites devant l’autorité de première instance, voire de pièces nouvelles. Les restrictions d’accès à la procédure posées à l’autorité intimée par la direction de la procédure pénale étaient dues au fait qu’à l’époque où la requête avait été formulée, le recourant, lui-même prévenu dans celle-ci, n’y avait pas entièrement accès. Dans la mesure où cet obstacle a été levé en septembre 2016, rien ne l’empêchait de réitérer sa démarche pour avoir un accès complet à la procédure pénale pour les besoins de sa propre instruction, et rien n’empêche que le recourant en produise pour défendre ses intérêts.</w:t>
      </w:r>
    </w:p>
    <w:p>
      <w:r>
        <w:rPr>
          <w:b/>
        </w:rPr>
        <w:t>E. 7</w:t>
      </w:r>
    </w:p>
    <w:p>
      <w:r>
        <w:t>L’exploitation d’une école privée est soumise à autorisation, sauf exceptions non réalisées en l’espèce. Cette autorisation est révocable en tout temps lorsque les conditions à son octroi ne sont plus réalisées, à savoir lorsque l’enseignement se révèle contraire à l’ordre public, aux bonnes mœurs ou à l’hygiène, ainsi qu’aux principes fixés à l’art. 10 LIP (art. 41 al. 1 et 2 LIP). En particulier l’art. 10 al. 1 let. b LIP prévoit que l’enseignement doit être dispensé dans le respect de la personnalité de chacun, avec notamment pour but d’aider chaque élève à développer sa personnalité et sa créativité, ainsi que ses aptitudes intellectuelles, manuelles, physiques et artistiques.</w:t>
      </w:r>
    </w:p>
    <w:p>
      <w:r>
        <w:t>Sur délégation de l’art. 41 al. 3 LIP, le Conseil d’État a édicté le REPRIV. Les principes contenus dans les alinéas 1 et 2 de l’art. 41 LIP y sont repris aux alinéas 1 et 2 de l’article 2 REPRIV. L’école privée doit garantir que le corps enseignant et les autres personnes en contact direct avec les élèves disposent des qualifications personnelles et professionnelles adéquates (art. 4 al. 1 LEPRIV). L’autorisation d’exploiter peut être retirée si les dispositions légales et réglementaires ne sont pas ou plus respectées (art. 8 al. 5 REPRIV). Elle est personnelle et non transmissible, étant délivrée au directeur de l’école privée ou aux membres de la direction désignés par celle-ci (art. 8 al. 6 REPRIV). Si nécessaire, le département peut prononcer des mesures administratives à l’encontre d’écoles privées qui ne respectent pas leurs obligations légales, lesquelles peuvent constituer en une série de mesures énoncées aux lettres a à f de l’art. 11 LEPRIV. Parmi celles-ci, l’interdiction de diriger une école privée, de participer à la direction de celle-ci, d’enseigner ou d’encadrer des élèves à toute personne ne répondant pas ou plus aux exigences de moralité et de capacités (art. 11 let. d REPRIV).</w:t>
      </w:r>
    </w:p>
    <w:p>
      <w:r>
        <w:t>En l’occurrence, les faits dénoncés par les élèves qui ont porté plainte, quelle que soit l’issue de la procédure pénale en cours et les qualifications juridiques qui seront finalement retenues pour ceux admis par le recourant lors de son audition par la police, ou quels que soient les avis des autres élèves fréquentant ou ayant fréquenté l’école du recourant sont problématiques, au regard des exigences imposées à l’enseignement privé par les art. 41 al. 2 et 10 LIP auquel celui-là</w:t>
      </w:r>
    </w:p>
    <w:p>
      <w:r>
        <w:t>- 12/13 - A/4420/2016 renvoie. Ceux-ci imposent un enseignement respectueux de la personnalité de chacun au sens dans lequel cette notion est protégée par les art. 7 de la Constitution fédérale de la Confédération suisse du 18 avril 1999 (Cst. RS 101) et 14 de la Constitution de la République et canton de Genève du 14 octobre 2012 (Cst-GE A 2 00). Certes, s’agissant des faits dénoncés par les plaignantes et admis par le recourant, celui-ci, lorsqu’il ne les a pas minimisés, les a systématiquement justifiés par une démarche pédagogique. L’utilisation de telles méthodes pédagogiques au sein d’une école, impliquant le recours à l’humiliation, l’offense ou le déshonneur des élèves sont objectivement susceptibles d’atteindre à la personnalité et à la dignité de ces derniers. Dans ces circonstances, le département, en tant qu’autorité de surveillance des écoles privées était a priori légitimé à intervenir sur ce point, en prenant l’une ou l’autre des mesures prévues à l’art. 11 REPriv. L’adéquation des méthodes d’enseignement pratiquées par le recourant et celle des dispositions prises sera l’objet de l’instruction au fond. Dans la mesure cependant où en décembre 2016, le recourant ne remettait aucunement en question le bien-fondé de leur usage, et n’émettait aucune proposition d’en changer, il n’y avait a priori aucun arbitraire à ce que l’autorité intimée déclare sa décision exécutoire nonobstant recours.</w:t>
      </w:r>
    </w:p>
    <w:p>
      <w:r>
        <w:t>S’agissant de la requête en restitution de l’effet suspensif, le dispositif pris dans la décision litigieuse est dicté par des motifs importants de protection des élèves fréquentant l’école du recourant. Il a pour but de les soustraire à des méthodes d’enseignement susceptibles de les atteindre dans leur personnalité et leur dignité. Il relève d’un intérêt public important. Celui-ci prévaut sur l’intérêt privé du recourant à diriger son école pendant la durée de la procédure de recours, en tous les cas tant qu’aucun dispositif adéquat n’aura pu être mis en place pour protéger les élèves. Il n’est pas disproportionné, même s’il implique des mesures de réorganisation internes dans le fonctionnement de l’école.</w:t>
      </w:r>
    </w:p>
    <w:p>
      <w:r>
        <w:t>Cette requête sera donc rejetée, et le sort des frais sera réservé jusqu’à droit jugé au fond. LA CHAMBRE ADMINISTRATIVE rejette la requête en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- 13/13 - A/4420/2016 conditions de l’art. 42 LTF. La présente décision et les pièces en possession du recourant, invoquées comme moyens de preuve, doivent être joints à l’envoi ; communique la présente décision, en copie, à Me Pascal Maurer, avocat du recourant, ainsi qu'au département de l'instruction publique.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