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ATA/175/2016 vom 23. Februar 2016</w:t>
      </w:r>
    </w:p>
    <w:p>
      <w:r>
        <w:t>GE Cour de justice, 2016-02-23, FR</w:t>
      </w:r>
    </w:p>
    <w:p>
      <w:r>
        <w:rPr>
          <w:b/>
        </w:rPr>
        <w:t xml:space="preserve">Quelle: </w:t>
      </w:r>
      <w:r>
        <w:t>https://mcp.opencaselaw.ch/entscheid/ge_gerichte_ATA_175_2016</w:t>
      </w:r>
    </w:p>
    <w:p>
      <w:r>
        <w:t>FR: GE_GERICHTE ATA/175/2016 du 23 février 2016</w:t>
      </w:r>
    </w:p>
    <w:p>
      <w:r>
        <w:t>IT: GE_GERICHTE ATA/175/2016 del 23 febbraio 2016</w:t>
      </w:r>
    </w:p>
    <w:p>
      <w:pPr>
        <w:pStyle w:val="Heading2"/>
      </w:pPr>
      <w:r>
        <w:t>Erwägungen</w:t>
      </w:r>
    </w:p>
    <w:p>
      <w:r>
        <w:rPr>
          <w:b/>
        </w:rPr>
        <w:t>E. 1</w:t>
      </w:r>
    </w:p>
    <w:p>
      <w:r>
        <w:t>Le recours, interjeté en temps utile devant l'autorité compétente, est recevable sous ces angles (art. 15 al. 1bis let. d et al. 2 AIMP ; art. 3 al. 1 de la loi du 12 juin 1997 autorisant le Conseil d’État à adhérer à l’accord intercantonal sur les marchés publics - L-AIMP - L 6 05.0 ; art. 56 al. 1 du règlement sur la passation des marchés publics du 17 décembre 2007 - RMP - L 6 05.01 ; art. 132 de la loi sur l'organisation judiciaire du 26 septembre 2010 - LOJ - E 2 05).</w:t>
      </w:r>
    </w:p>
    <w:p>
      <w:r>
        <w:rPr>
          <w:b/>
        </w:rPr>
        <w:t>E. 2</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w:t>
      </w:r>
    </w:p>
    <w:p>
      <w:r>
        <w:t>- 4/7 - A/458/2016 dans la phase de passation des marchés (art. 11 AIMP, notamment let. a et b AIMP).</w:t>
      </w:r>
    </w:p>
    <w:p>
      <w:r>
        <w:rPr>
          <w:b/>
        </w:rPr>
        <w:t>E. 3</w:t>
      </w:r>
    </w:p>
    <w:p>
      <w:r>
        <w:t>a. Selon les art. 25 ss RMP, l’appel d’offres, publié dans la FAO contient les indications pertinentes relatives au type de marché, à l’autorité adjudicatrice, aux conditions de participation, aux critères d’adjudication et aux documents mis à disposition des candidats donnant les renseignements nécessaires à l’établissement de l’offre, dont la liste des pièces et documents à joindre (art. 27 let. e RMP).</w:t>
      </w:r>
    </w:p>
    <w:p>
      <w:r>
        <w:t>b. En vertu de l’art. 42 RMP, l’offre est écartée d’office lorsque le soumissionnaire a rendu une offre tardive, incomplète ou non conforme aux exigences ou au cahier des charges (al. 1 let. a) ; les offres écartées ne sont pas évaluées. L’autorité adjudicatrice rend une décision d’exclusions motivée, notifiée par courrier à l’intéressé, avec mention des voies de recours (al. 3).</w:t>
      </w:r>
    </w:p>
    <w:p>
      <w:r>
        <w:rPr>
          <w:b/>
        </w:rPr>
        <w:t>E. 4</w:t>
      </w:r>
    </w:p>
    <w:p>
      <w:r>
        <w:t>Le droit des marchés publics est formaliste, comme la chambre de céans l’a déjà rappelé à plusieurs reprises (ATA/535/2011 du 30 août 2011 consid. 5 ; ATA/10/2009 du 13 janvier 2009 et les références citées) et c’est dans le respect de ce formalisme que l’autorité adjudicatrice doit procéder à l’examen de la recevabilité des offres et à leur évaluation (ATA/535/2011 précité consid. 5).</w:t>
      </w:r>
    </w:p>
    <w:p>
      <w:r>
        <w:t>Ledit formalisme permet de protéger notamment le principe d’intangibilité des offres remises et le respect du principe d’égalité de traitement entre soumissionnaires garanti par l'art. 16 al. 2 RMP (ATA/129/2014 du 4 mars 2014 consid. 4 a contrario).</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w:t>
      </w:r>
    </w:p>
    <w:p>
      <w:r>
        <w:t>Les principes précités valent notamment pour la phase d’examen de la recevabilité des soumissions (Olivier RODONDI, op. cit., p. 186 n. 65). Lors de celle-ci, l’autorité adjudicatrice doit examiner si les offres présentées remplissent les conditions formelles pour participer à la procédure d’évaluation proprement</w:t>
      </w:r>
    </w:p>
    <w:p>
      <w:r>
        <w:t>- 5/7 - A/458/2016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(ATA/535/2011 précité consid. 6 ; ATA/102/2010 du 16 février 2010, confirmé par arrêt du Tribunal fédéral 2C_197/2010 et 2C_198/2010 du 30 avril 2010).</w:t>
      </w:r>
    </w:p>
    <w:p>
      <w:r>
        <w:t>La chambre de céans s'est toujours montrée stricte dans ce domaine (ATA/535/2011 précité consid. 6 ; ATA/150/2006 du 14 mars 2006, notamment), ce que le Tribunal fédéral a constaté mais confirmé (arrêts du Tribunal fédéral 2C_418/2014 du 20 août 2014 ; 2C_197 et 198/2010 précité), la doctrine étant plus critique à cet égard (Olivier RODONDI, op. cit., p. 186 n. 64, et p. 187 n. 66).</w:t>
      </w:r>
    </w:p>
    <w:p>
      <w:r>
        <w:rPr>
          <w:b/>
        </w:rPr>
        <w:t>E. 5</w:t>
      </w:r>
    </w:p>
    <w:p>
      <w:r>
        <w:t>En l’espèce, dans ses écritures de recours, la recourante admet n’avoir pas fourni d’échantillons d’enveloppes conformes aux exigences posées par l’autorité adjudicatrice, d’une part car elle ne dispose pas des outils nécessaires pour les produire et, d’autre part, parce que les exigences genevoises ne correspondent pas aux directives de La Poste Suisse SA, société anonyme de droit public inscrite au registre du commerce du canton de Berne, ayant pour but de fournir des services postaux et financiers (art. 3 de la loi sur l’organisation de La Poste Suisse du 17 décembre 2010 - LOP - RS 783.1), qui n’a pas de compétence en matière de définition des exigences cantonales pour les enveloppes électorales.</w:t>
      </w:r>
    </w:p>
    <w:p>
      <w:r>
        <w:t>Ainsi, la recourante a répondu à l’appel d’offres en fournissant consciemment des échantillons d’enveloppes non conformes aux exigences posées par l’autorité adjudicatrice – exigences qu’elle n’a pas contestées en recourant en temps utile contre l’appel d’offre – et en sachant qu’elle ne disposait pas des outils nécessaires à la production d’enveloppes ayant les caractéristiques techniques requises. Son affirmation non étayée selon laquelle elle acquerrait à sa seule charge les outils en question si le marché lui était adjugé, ne lui est à ce stade de la procédure, d’aucun recours.</w:t>
      </w:r>
    </w:p>
    <w:p>
      <w:r>
        <w:t>Conformément aux règles et principes énoncés plus haut, l’autorité adjudicatrice ne pouvait qu’écarter l’offre de la recourante.</w:t>
      </w:r>
    </w:p>
    <w:p>
      <w:r>
        <w:rPr>
          <w:b/>
        </w:rPr>
        <w:t>E. 6</w:t>
      </w:r>
    </w:p>
    <w:p>
      <w:r>
        <w:t>Manifestement mal fondé, le recours sera rejeté sans instruction (art. 72 LPA).</w:t>
      </w:r>
    </w:p>
    <w:p>
      <w:r>
        <w:t>Vu les circonstances du cas d’espèce, il ne sera pas perçu d’émolument et vu son issue, aucune indemnité ne sera allouée (art. 87 al. 1 et 2 LPA).</w:t>
      </w:r>
    </w:p>
    <w:p>
      <w:r>
        <w:t>- 6/7 - A/458/2016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