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ATA/175/2004 vom 2. März 2004</w:t>
      </w:r>
    </w:p>
    <w:p>
      <w:r>
        <w:t>GE Cour de justice, 2004-03-02, FR</w:t>
      </w:r>
    </w:p>
    <w:p>
      <w:r>
        <w:rPr>
          <w:b/>
        </w:rPr>
        <w:t xml:space="preserve">Quelle: </w:t>
      </w:r>
      <w:r>
        <w:t>https://mcp.opencaselaw.ch/entscheid/ge_gerichte_ATA_175_2004</w:t>
      </w:r>
    </w:p>
    <w:p>
      <w:r>
        <w:t>FR: GE_GERICHTE ATA/175/2004 du 2 mars 2004</w:t>
      </w:r>
    </w:p>
    <w:p>
      <w:r>
        <w:t>IT: GE_GERICHTE ATA/175/2004 del 2 marzo 2004</w:t>
      </w:r>
    </w:p>
    <w:p>
      <w:pPr>
        <w:pStyle w:val="Heading2"/>
      </w:pPr>
      <w:r>
        <w:t>Erwägungen</w:t>
      </w:r>
    </w:p>
    <w:p>
      <w:r>
        <w:rPr>
          <w:b/>
        </w:rPr>
        <w:t>E. 1</w:t>
      </w:r>
    </w:p>
    <w:p>
      <w:r>
        <w:t>Interjetés en temps utile devant la juridiction compétente, les recours sont recevables (art. 56A de la loi sur l'organisation judiciaire du 22 novembre 1941 - LOJ - E 2 05; art. 63 al. 1 litt. a de la loi sur la procédure administrative du 12 septembre 1985 - LPA - E 5 10).</w:t>
      </w:r>
    </w:p>
    <w:p>
      <w:r>
        <w:rPr>
          <w:b/>
        </w:rPr>
        <w:t>E. 2</w:t>
      </w:r>
    </w:p>
    <w:p>
      <w:r>
        <w:t>L'article 70 LPA dispose que l'autorité peut, d'of- fice ou sur requête, joindre en une même procédure des affaires qui se rapportent à une situation identique ou à une cause identique. La jonction n'est toutefois pas ordonnée si la première procédure est en état d'être jugée alors que la ou les autres viennent d'être introduites. Vu l'état de fait, le Tribunal ordonnera la jonction des causes A/879/2003-TPE et A/2455/2003-CE.</w:t>
      </w:r>
    </w:p>
    <w:p>
      <w:r>
        <w:rPr>
          <w:b/>
        </w:rPr>
        <w:t>E. 3</w:t>
      </w:r>
    </w:p>
    <w:p>
      <w:r>
        <w:t>a. L'aménagement du territoire est régi par la loi fédérale sur l'aménagement du territoire du 22 juin l979 (LAT - RS 700) et ses dispositions cantonales d'appli- cation, notamment la loi d'application de la loi fédérale sur l'aménagement du territoire du 4 juin 1987 (LaLAT - L 1 30). La LAT a subi diverses modifications qui sont entrées en vigueur le 1er septembre 2000.</w:t>
      </w:r>
    </w:p>
    <w:p>
      <w:r>
        <w:t>b. La zone agricole est régie par les articles 16 et 16a LAT et 20 et suivants LaLAT. Ces articles définissent notamment les constructions qui sont conformes à la zone, soit qu'elles soient nécessaires à l'exploitation agricole soit qu'elles servent au développement interne d'une activité conforme.</w:t>
      </w:r>
    </w:p>
    <w:p>
      <w:r>
        <w:t>c. L'autorisation de construire ne peut être délivrée qu'à la condition que la construction soit conforme à la zone (art. 22 al. 2 lit. a LAT), ou qu'elle puisse bénéficier d'une dérogation conformément à l'article 24 LAT.</w:t>
      </w:r>
    </w:p>
    <w:p>
      <w:r>
        <w:t>d. Les conditions de dérogation pour des constructions hors de la zone à bâtir sont prévues par le droit fédéral (art. 24 à 24d LAT). Ces dispositions sont complétées ou reprises par les articles 26, 26A et 27 LaLAT.</w:t>
      </w:r>
    </w:p>
    <w:p>
      <w:r>
        <w:t>e. En vertu de l'article 24 LAT, en dérogation à l'article 22 alinéa 2 lettre a LAT, des autorisations peuvent être délivrées pour de nouvelles constructions ou installations ou pour tout changement d'affectation si l'implantation de ces constructions ou installations hors de la zone à bâtir est imposée par leur destination et si aucun intérêt prépondérant ne s'y oppose. Ces conditions cumulatives sont reprises par l'article 27 LaLAT.</w:t>
      </w:r>
    </w:p>
    <w:p>
      <w:r>
        <w:t>f. En l'absence de dispositions cantonales applicables ou dans l'attente de leur adaptation sur certains points, les dispositions fédérales sont directement applicables.</w:t>
      </w:r>
    </w:p>
    <w:p>
      <w:r>
        <w:t>- 5 -</w:t>
      </w:r>
    </w:p>
    <w:p>
      <w:r>
        <w:rPr>
          <w:b/>
        </w:rPr>
        <w:t>E. 4</w:t>
      </w:r>
    </w:p>
    <w:p>
      <w:r>
        <w:t>a. Selon l'article 1 de la loi sur les constructions et les installations diverses du 14 avril 1988 (LCI - L 5 05), nul ne peut, sur le territoire du canton, sans y avoir été autorisé, modifier, même partiellement le volume, l'architecture, la couleur, l'implantation, la destination ou la distribution d'une construction, démolir, supprimer ou rebâtir une construction ou une installation.</w:t>
      </w:r>
    </w:p>
    <w:p>
      <w:r>
        <w:t>b. Le département peut ordonner la remise en état, à l'égard d'une construction, d'une installation ou d'une autre chose non conforme aux prescriptions de la LCI, de ses règlements ou des autorisations délivrées (art. 129 let. e et 130 LCI).</w:t>
      </w:r>
    </w:p>
    <w:p>
      <w:r>
        <w:rPr>
          <w:b/>
        </w:rPr>
        <w:t>E. 5</w:t>
      </w:r>
    </w:p>
    <w:p>
      <w:r>
        <w:t>a. En l'espèce, la parcelle de la recourante est située en zone agricole.</w:t>
      </w:r>
    </w:p>
    <w:p>
      <w:r>
        <w:t>b. L'édification d'une piscine n'est pas conforme à la zone agricole en vertu des articles 16a LAT et 20 LaLAT. Il est donc nécessaire d'examiner cet ouvrage en regard du régime dérogatoire des articles 24 et suivants LAT et 27 LaLAT.</w:t>
      </w:r>
    </w:p>
    <w:p>
      <w:r>
        <w:t>c. L'implantation d'une piscine n'est à l'évidence pas une construction ou installation imposée par sa destina- tion hors de la zone à bâtir (art. 24 LAT et 27 LaLAT). Elle est généralement destinée à l'agrément de ses utilisateurs. L'implantation d'une telle construction hors de la zone à bâtir n'est dictée par aucune nécessité technique, économique ou inhérente à la nature du sol propre à justifier une dérogation (ATF 115 Ib 299; ATF 113 Ib 141; RDAF 2000 I p. 84 ss T.).</w:t>
      </w:r>
    </w:p>
    <w:p>
      <w:r>
        <w:t>d. Dans ces circonstance, c'est à juste titre que le département a considéré que la piscine litigieuse n'était pas conforme à la zone.</w:t>
      </w:r>
    </w:p>
    <w:p>
      <w:r>
        <w:rPr>
          <w:b/>
        </w:rPr>
        <w:t>E. 6</w:t>
      </w:r>
    </w:p>
    <w:p>
      <w:r>
        <w:t>En ce qui concerne le maintien à titre précaire, le Tribunal fédéral a indiqué que, lorsque l'autorité octroie une autorisation de maintien à tire précaire selon l'article 139 alinéa 1 LCI, sa décision a pratiquement pour effet d'accorder une dérogation hors de la zone à bâtir selon les articles 24 et suivants LAT, à l'égard desquels l'article 139 alinéa 1 LCI n'a pas de portée propre (ATF S. du 19 décembre 2002, et la jurisprudence citée).</w:t>
      </w:r>
    </w:p>
    <w:p>
      <w:r>
        <w:t>Comme exposé ci-dessus, la piscine litigieuse ne peut être autorisée au vu du droit fédéral de l'aménage- ment du territoire. Le Conseil d'Etat devait dès lors refuser d'accorder le maintien à titre précaire sollicité.</w:t>
      </w:r>
    </w:p>
    <w:p>
      <w:r>
        <w:rPr>
          <w:b/>
        </w:rPr>
        <w:t>E. 7</w:t>
      </w:r>
    </w:p>
    <w:p>
      <w:r>
        <w:t>Reste à examiner si la démolition de la piscine et le rétablissement de l'état antérieur ne porteraient pas une atteinte disproportionnée au droit de propriété de la</w:t>
      </w:r>
    </w:p>
    <w:p>
      <w:r>
        <w:t>- 6 -</w:t>
      </w:r>
    </w:p>
    <w:p>
      <w:r>
        <w:t>recourante.</w:t>
      </w:r>
    </w:p>
    <w:p>
      <w:r>
        <w:t>a.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(ATF S. précité).</w:t>
      </w:r>
    </w:p>
    <w:p>
      <w:r>
        <w:t>b. En l'espèce, l'intérêt public à prendre en compte est principalement celui lié au respect de la loi. L'in- térêt privé de la recourante, atteint par la démolition, est d'une part de nature pécuniaire et, d'autre part, constitué par des besoins de convenance personnelle et de loisirs, la possession d'une piscine privée ne relevant pas d'un besoin fondamental ou vital. Au surplus, il a été dit que les travaux ne pouvaient pas être autorisés après coup. La recourante indique elle-même avoir fait preuve d'une certaine négligence, de sorte que le tribunal ne retiendra pas que la bonne foi de l'intéressée s'oppose- rait à une démolition. De plus, on ne voit pas quelle mesure moins incisive pourrait être ordonnée, permettant néanmoins de retrouver une situation conforme au droit.</w:t>
      </w:r>
    </w:p>
    <w:p>
      <w:r>
        <w:t>Dès lors, l'ordre de démolition sera confirmé.</w:t>
      </w:r>
    </w:p>
    <w:p>
      <w:r>
        <w:rPr>
          <w:b/>
        </w:rPr>
        <w:t>E. 8</w:t>
      </w:r>
    </w:p>
    <w:p>
      <w:r>
        <w:t>a. Selon l'article 137 LCI, est passible d'une amende administrative de CHF 100.- à CHF 60'000.- pour une construction non autorisable tout contrevenant à la LCI.</w:t>
      </w:r>
    </w:p>
    <w:p>
      <w:r>
        <w:t>b. Les amendes administratives sont de nature pénale, car aucun critère ne permet de les distinguer clairement des amendes ordinaires (ATA Sch.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(ATA C. du 18 février 1997). En vertu de l'article 1 alinéa 2 de la loi pénale genevoise du 20 septembre 1941 (LPG - E 4 05), il y a lieu de faire application des dispositions générales contenues dans le Code pénal suisse du 21 décembre 1937 (CPS - RS 311.0), notamment l'article 63 CPS, sous réserve des exceptions prévues par le législateur cantonal à l'article 24 LPG.</w:t>
      </w:r>
    </w:p>
    <w:p>
      <w:r>
        <w:t>- 7 -</w:t>
      </w:r>
    </w:p>
    <w:p>
      <w:r>
        <w:t>c. Il est en effet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 646-648; ATA G. du 20 septembre 1994) et jouit d'un large pouvoir d'appréciation pour infliger une amende (ATA C. &amp; H. du 27 avril 1999; G. du 20 septembre 1994; Régie C. du 8 septembre 1992). La juridiction de céans ne la censure qu'en cas d'excès (ATA U. du 18 février 1997).</w:t>
      </w:r>
    </w:p>
    <w:p>
      <w:r>
        <w:t>d. L'amende doit respecter le principe de la proportionnalité (ATA P. du 5 août 1997). Il est ainsi tenu compte, dans la fixation du montant de l'amende, du degré de gravité de l'infraction et de la situation de la recourante, par application analogique de l'article 63 CPS.</w:t>
      </w:r>
    </w:p>
    <w:p>
      <w:r>
        <w:t>e. En l'espèce, la faute de la recourante est avérée : elle a édifié une piscine en violation des dispositions sur l'aménagement du territoire. Cela dit, ce reproche doit être relativisé, dans la mesure où la première pisci- ne avait été officiellement cadastrée. En revanche, rien n'indique que la situation financière de la recourante soit précaire.</w:t>
      </w:r>
    </w:p>
    <w:p>
      <w:r>
        <w:t>Partant, le montant de l'amende infligée par le département, soit CHF 2'000.-, est raisonnable. Le recours sera également rejeté sur ce point.</w:t>
      </w:r>
    </w:p>
    <w:p>
      <w:r>
        <w:rPr>
          <w:b/>
        </w:rPr>
        <w:t>E. 9</w:t>
      </w:r>
    </w:p>
    <w:p>
      <w:r>
        <w:t>Vu l'issue du litige, un émolument de CHF 1'500.-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