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ATA/174/2016 vom 23. Februar 2016</w:t>
      </w:r>
    </w:p>
    <w:p>
      <w:r>
        <w:t>GE Cour de justice, 2016-02-23, FR</w:t>
      </w:r>
    </w:p>
    <w:p>
      <w:r>
        <w:rPr>
          <w:b/>
        </w:rPr>
        <w:t xml:space="preserve">Quelle: </w:t>
      </w:r>
      <w:r>
        <w:t>https://mcp.opencaselaw.ch/entscheid/ge_gerichte_ATA_174_2016</w:t>
      </w:r>
    </w:p>
    <w:p>
      <w:r>
        <w:t>FR: GE_GERICHTE ATA/174/2016 du 23 février 2016</w:t>
      </w:r>
    </w:p>
    <w:p>
      <w:r>
        <w:t>IT: GE_GERICHTE ATA/174/2016 del 23 febbraio 2016</w:t>
      </w:r>
    </w:p>
    <w:p>
      <w:pPr>
        <w:pStyle w:val="Heading2"/>
      </w:pPr>
      <w:r>
        <w:t>Regeste</w:t>
      </w:r>
    </w:p>
    <w:p>
      <w:r>
        <w:t>Résumé: Question de la déductibilité d'une provision pour litiges enregistrée dans les comptes 2012 de la recourante. Pour qu'une provision soit déductible, il faut notamment que le risque soit certain ou quasi certain. La provision pour litiges concerne les risques liés à une prétention découlant d'une action judiciaire en cours. Du fait du principe de l'autorité du bilan commercial ou de déterminance, la requalification d'une provision en une autre est exclue. En l'espèce, la provision litigieuse ne remplit pas les exigences légales et doit être réintégrée dans le bénéfice imposable. Recours rejeté.</w:t>
      </w:r>
    </w:p>
    <w:p>
      <w:pPr>
        <w:pStyle w:val="Heading2"/>
      </w:pPr>
      <w:r>
        <w:t>Erwägungen</w:t>
      </w:r>
    </w:p>
    <w:p>
      <w:r>
        <w:rPr>
          <w:b/>
        </w:rPr>
        <w:t>E. 12</w:t>
      </w:r>
    </w:p>
    <w:p>
      <w:r>
        <w:t>septembre 1985 - LPA - E 5 10 ; art. 7 al. 2 de la loi de procédure fiscale du 4 octobre 2001 - LPFisc - D 3 17). 2)</w:t>
      </w:r>
    </w:p>
    <w:p>
      <w:r>
        <w:t>L'objet du litige est l'admissibilité, en tant que charge justifiée par l'usage commercial, de la provision pour litiges de CHF 500'000.- enregistrée dans les comptes 2012 de A______. 3)</w:t>
      </w:r>
    </w:p>
    <w:p>
      <w:r>
        <w:t>Dans la mesure où la matière est réglée de manière semblable en droit fédéral et en droit cantonal (consid. 12 infra), une seule décision sera rendue, ce qui est conforme à la jurisprudence fédérale (ATF 135 II 260).</w:t>
      </w:r>
    </w:p>
    <w:p>
      <w:r>
        <w:t>- 6/11 - A/799/2014 4) a. L’impôt sur le bénéfice a pour objet le bénéfice net, tel qu’il découle du compte de pertes et profits établi selon les règles du droit commercial (art. 57, 58, al. 1 de la loi fédérale sur l’impôt fédéral direct du 14 décembre 1990 - LIFD - RS 642.11 ; Xavier OBERSON, Droit fiscal suisse, 4ème éd., 2012, p. 224).</w:t>
      </w:r>
    </w:p>
    <w:p>
      <w:r>
        <w:t>Tous les prélèvements opérés sur le résultat commercial qui ne servent pas à couvrir des dépenses justifiées par l’usage commercial sont ajoutés au bénéfice imposable (art. 58 al. 1 let. b LIFD), telle par exemple une provision non justifiée.</w:t>
      </w:r>
    </w:p>
    <w:p>
      <w:r>
        <w:t>b. 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w:t>
      </w:r>
    </w:p>
    <w:p>
      <w:r>
        <w:t>Dans la mesure où une provision ne peut avoir pour objet que des pertes imminentes (art. 63 al. 1 let. c LIFD), les provisions pour des charges futures ne sont pas admissibles (arrêts du Tribunal fédéral 2C_478/2011 du 10 novembre 2011 consid. 2.1 ; 2C_581/2010 du 28 mars 2010 consid. 3.1). En effet,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du 28 mars 2011 consid. 3.1 et les arrêts cités). Le droit fiscal n'admet ainsi pas la diminution artificielle du bénéfice par le biais de provisions injustifiées (arrêt du Tribunal fédéral 2C_1101/2014 du 23 novembre 2015 consid. 3).</w:t>
      </w:r>
    </w:p>
    <w:p>
      <w:r>
        <w:t>c.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(ATA/1238/2015 du 17 novembre 2015 consid. 3d ; ATA/520/2014 du 1er juillet 2014 et les références citées).</w:t>
      </w:r>
    </w:p>
    <w:p>
      <w:r>
        <w:t>- 7/11 - A/799/2014</w:t>
      </w:r>
    </w:p>
    <w:p>
      <w:r>
        <w:t>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(Danielle YERSIN/Yves NOËL [éd.], Commentaire romand - Impôt fédéral direct, 2008, n. 19 ad art. 63 LIFD).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w:t>
      </w:r>
    </w:p>
    <w:p>
      <w:r>
        <w:t>Lorsque des provisions, qui ont été passées en charge du compte de résultat, ne sont pas admissibles, l’autorité fiscale est en droit de procéder à la dissolution de la provision (arrêt du Tribunal fédéral 2C_581/2010 du 28 mars 2011 consid. 3.1). La dissolution d’une provision est susceptible d’intervenir dès qu’elle n’est plus justifiée commercialement, engendrant une correction en défaveur du contribuable (Danielle YERSIN/Yves NOËL [éd.], op. cit., n. 41 et 67 ad art. 58 LIFD).</w:t>
      </w:r>
    </w:p>
    <w:p>
      <w:r>
        <w:t>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1er octobre 2008 consid 4.4 ; ATA/761/2013 du 12 novembre 2013). Le montant et la justification commerciale des provisions étant de nature à diminuer la dette fiscale, c'est au contribuable d'en apporter la preuve (arrêt du Tribunal fédéral 2A.71/2006 du 21 juin 2006 consid. 3.3.3 ; arrêt du Tribunal administratif de Bâle-Ville 510 09 13 du 3 juillet 2009 consid. 4c). 5)</w:t>
      </w:r>
    </w:p>
    <w:p>
      <w:r>
        <w:t>Une provision pour litiges, en soi admissible (Markus REICH/Marina ZÜGER, in : Martin ZWEIFEL/ Peter ATHANAS [éd.], Kommentar zum Schweizerischen Steuerrecht, I/2a - Bundesgesetz über die direkte Bundessteuer [DBG], Art. 1-82, 2ème éd., 2008, n. 18 ad art. 29 LIFD ; Peter LOCHER, Kommentar zum DBG, vol. I, 2001, n. 13 ad art. 29 LIFD), concerne les risques liés à une prétention découlant d'une action judiciaire en cours (Robert DANON, in Danielle YERSIN/Yves NOËL [éd.], op. cit., n. 19 ad art. 63 LIFD). L'action judiciaire doit ainsi être entamée lors de la période fiscale en cause (ATA/829/2013 du 17 décembre 2013 consid. 5a).</w:t>
      </w:r>
    </w:p>
    <w:p>
      <w:r>
        <w:t>- 8/11 - A/799/2014 6)</w:t>
      </w:r>
    </w:p>
    <w:p>
      <w:r>
        <w:t>En l’espèce, la recourante a attribué un montant de CHF 500'000.- à une « provision pour litiges » dans ses comptes 2012.</w:t>
      </w:r>
    </w:p>
    <w:p>
      <w:r>
        <w:t>Interrogée par l'AFC-GE à ce sujet avant l'établissement de la taxation litigieuse, elle a répondu le 12 septembre 2013, soit après l'établissement de ses comptes 2012, qu'aucun litige n'était en cours. Dans ses écritures devant la chambre de céans, elle n'évoque toujours pas d'action judiciaire dirigée à son encontre qui serait pendante.</w:t>
      </w:r>
    </w:p>
    <w:p>
      <w:r>
        <w:t>Dans ces circonstances, on ne saurait retenir que le risque était certain, ou même quasi certain, comme l’exige la jurisprudence citée plus haut.</w:t>
      </w:r>
    </w:p>
    <w:p>
      <w:r>
        <w:t>Une provision pour litiges n'était dès lors pas justifiée par l'usage commercial et revêtait ainsi le caractère d'une réserve. 7)</w:t>
      </w:r>
    </w:p>
    <w:p>
      <w:r>
        <w:t>La recourante invoque matériellement devant la chambre de céans que la provision en cause devait plutôt être comprise comme une provision pour garantie. 8) a. Dans sa jurisprudence, la chambre de céans admet désormais, notamment pour les entreprises de construction, la constitution de provisions forfaitaires de garantie, à hauteur de 1.5 % du chiffre d'affaires annuel (ATA/1238/2015 du</w:t>
      </w:r>
    </w:p>
    <w:p>
      <w:r>
        <w:rPr>
          <w:b/>
        </w:rPr>
        <w:t>E. 17</w:t>
      </w:r>
    </w:p>
    <w:p>
      <w:r>
        <w:t>novembre 2015 consid. 3 et 4 ; ATA/552/2014 du 17 juillet 2014 ; ATA/520/2014 du 1er juillet 2014).</w:t>
      </w:r>
    </w:p>
    <w:p>
      <w:r>
        <w:t>b. En définissant le bénéfice imposable par renvoi au solde du compte de résultat,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in Danielle YERSIN/Yves NOËL [éd.], op. cit.,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w:t>
      </w:r>
    </w:p>
    <w:p>
      <w:r>
        <w:t>- 9/11 - A/799/2014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w:t>
      </w:r>
    </w:p>
    <w:p>
      <w:r>
        <w:t>Le principe de déterminance déploie aussi un effet contraignant pour le contribuable. En effet, celui-ci est lié par son mode de comptabilisation et seules les écritures ressortant des comptes sont décisives (Robert DANON, in Danielle YERSIN/Yves NOËL [éd.], op. cit., n. 51 ad art. 57-58 LIFD).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p. 89 ; Pierre-Marie GLAUSER, Goodwill et acquisitions d'entreprises - Une analyse sous l'angle du droit fiscal et comptable, in Droit des sociétés : mélanges en l'honneur de Roland RUEDIN, 2006, 421-445, p. 430).</w:t>
      </w:r>
    </w:p>
    <w:p>
      <w:r>
        <w:t>c. Il découle du principe précité, en particulier du devoir de comptabilisation et de qualification qui incombe au contribuable, qu'une requalification d'une provision en une autre est exclue (Markus REICH/Marina ZÜGER, in Martin ZWEIFEL/Peter ATHANAS [éd.], op. cit., n. 7 ad art. 29 LIFD ; Jürg STOLL, Die Rückstellung im Handels- und Steuerrecht, 1992, p. 232). 9)</w:t>
      </w:r>
    </w:p>
    <w:p>
      <w:r>
        <w:t>Ainsi, il n'est pas possible de requalifier aujourd'hui en provision pour garantie la provision clairement décrite dans les comptes 2012 comme provision pour litiges, étant rappelé que la recourante n'a pas évoqué dans son courrier du 12 septembre 2013 que la dénomination utilisée aurait été fausse, quand bien même elle a précisé qu'elle avait voulu couvrir « tous risques de litiges futurs ou défauts dans la construction ».</w:t>
      </w:r>
    </w:p>
    <w:p>
      <w:r>
        <w:t>Par surabondance, il sera relevé que la recourante n'a – alors que le fardeau de la preuve lui incombait – fourni aucune pièce permettant de savoir à quel régime juridique (contractuel ou légal, notamment) la garantie était soumise. 10) La recourante invoque encore le principe de l'imposition selon la capacité contributive, ainsi qu'une inégalité de traitement.</w:t>
      </w:r>
    </w:p>
    <w:p>
      <w:r>
        <w:t>Le premier de ces griefs se confond intégralement avec ceux déjà examinés, et ne sera dès lors pas examiné plus avant.</w:t>
      </w:r>
    </w:p>
    <w:p>
      <w:r>
        <w:t>Quant à une prétendue inégalité de traitement, la recourante n’allègue ni ne tente de démontrer qu’elle aurait été traitée différemment des autres contribuables dans la même situation, ce que la jurisprudence constante de la chambre de céans</w:t>
      </w:r>
    </w:p>
    <w:p>
      <w:r>
        <w:t>- 10/11 - A/799/2014 et la pratique de l’AFC-GE tendent précisément à éviter. En outre, conformément au principe nemo auditur suam propriam turpitudinem allegans (nul ne peut se prévaloir de sa propre faute), qui concrétise le principe constitutionnel de la bonne foi et vaut également en matière de droit public (arrêt du Tribunal fédéral 2C_17/2008 du 16 mai 2008 consid. 6.2 ; ATA/91/2015 du 20 janvier 2015 consid. 5 ; ATA/26/2012 du 17 janvier 2012 consid. 10), la recourante ne saurait se prévaloir du fait qu'elle ait le cas échéant mal qualifié la provision en cause dans ses comptes, et qu'elle se soit ainsi trouvé dans une situation par hypothèse différente de celle des contribuables ayant pu déduire une telle provision.</w:t>
      </w:r>
    </w:p>
    <w:p>
      <w:r>
        <w:t>Ces griefs seront écartés. 11) En conséquence, la provision litigieuse ne remplissant pas les exigences légale, elle doit être assimilée à une réserve et il se justifie de réintégrer son montant dans le bénéfice imposable de la contribuable, comme l’a à juste titre retenu le TAPI. 12) Les dispositions légales cantonales régissant l’assujettissement des sociétés anonymes à l’impôt sur les personnes morales (art. 20 al. 1 de la loi fédérale sur l’harmonisation des impôts directs des cantons et des communes du 14 décembre 1990 - LHID - RS 642.14 - et 1 al. 2 de la loi sur l’imposition des personnes morales du 23 septembre 1994 - LIPM - D 3 15), l’objet de l’impôt sur le bénéfice (art. 24 al. 1 LHID et 11 LIPM), ainsi que la constitution de provisions (art. 10 al. 1 LHID et 12 let. e et 13 LIPM) ont une teneur identique à celles de la LIFD citées plus haut. 13) Le recours sera dès lors rejeté, tant en ce qui concerne l'ICC que l'IFD. 14) Vu l'issue du litige, un émolument de CHF 2'000.- sera mis à la charge de la recourante, qui succombe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