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ATA/1742/2019 vom 3. Dezember 2019</w:t>
      </w:r>
    </w:p>
    <w:p>
      <w:r>
        <w:t>GE Cour de justice, 2019-12-03, FR</w:t>
      </w:r>
    </w:p>
    <w:p>
      <w:r>
        <w:rPr>
          <w:b/>
        </w:rPr>
        <w:t xml:space="preserve">Quelle: </w:t>
      </w:r>
      <w:r>
        <w:t>https://mcp.opencaselaw.ch/entscheid/ge_gerichte_ATA_1742_2019</w:t>
      </w:r>
    </w:p>
    <w:p>
      <w:r>
        <w:t>FR: GE_GERICHTE ATA/1742/2019 du 3 décembre 2019</w:t>
      </w:r>
    </w:p>
    <w:p>
      <w:r>
        <w:t>IT: GE_GERICHTE ATA/1742/2019 del 3 dicembre 2019</w:t>
      </w:r>
    </w:p>
    <w:p>
      <w:pPr>
        <w:pStyle w:val="Heading2"/>
      </w:pPr>
      <w:r>
        <w:t>Erwägungen</w:t>
      </w:r>
    </w:p>
    <w:p>
      <w:r>
        <w:rPr>
          <w:b/>
        </w:rPr>
        <w:t>E. 12</w:t>
      </w:r>
    </w:p>
    <w:p>
      <w:r>
        <w:t>septembre 1985 - LPA - E 5 10). 2)</w:t>
      </w:r>
    </w:p>
    <w:p>
      <w:r>
        <w:t>Le litige porte sur la conformité au droit de la décision du département du 8 mars 2018 prononçant la révocation de l’autorisation d’établissement de la recourante – légalement en Suisse depuis plus de quinze ans –, sur la base de l’art. 63 al. 1 let. a (recte : al. 2) LEI en lien avec l’art. 62 al. 1 let. b LEI et l’art. 63 al. 1 let. b LEI, et son renvoi de Suisse, et ordonnant l’exécution de cette mesure dès sa sortie de prison.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LaLEtr - F 2 10, a contrario ; ATA/1420/2019 du 24 septembre 2019).</w:t>
      </w:r>
    </w:p>
    <w:p>
      <w:r>
        <w:t>- 16/25 - A/1315/2018 4)</w:t>
      </w:r>
    </w:p>
    <w:p>
      <w:r>
        <w:t>Le 1er janvier 2019 est entrée en vigueur une modification de la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1er janvier 2019 sont régies par l’ancien droit.</w:t>
      </w:r>
    </w:p>
    <w:p>
      <w:r>
        <w:t>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B______. 6) a. Aux termes de l’art. 63 al. 2 LEI,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LEI), ou s’il a été condamné à une peine privative de liberté de longue durée ou a fait l’objet d’une mesure pénale prévue aux art. 59 à 61 ou 64 du Code pénal suisse du 21 décembre 1937 (CP - RS 311.0 ; art. 62 al. 1 let. b LEI). Selon la jurisprudence, une peine privative de liberté est considérée comme de longue durée lorsqu’elle dépasse un an d’emprisonnement (arrêt du Tribunal fédéral 2D_61/2015 du 8 avril 2016 consid. 2.1 et les références citées).</w:t>
      </w:r>
    </w:p>
    <w:p>
      <w:r>
        <w:t>b. En l’occurrence, la recourante a, le 17 janvier 2013, été condamnée à une peine privative de liberté de vingt ans pour assassinat, interruption de grossesse punissable et atteinte à la paix des morts.</w:t>
      </w:r>
    </w:p>
    <w:p>
      <w:r>
        <w:t>Elle remplit ainsi la condition de la peine privative de liberté de longue durée de l’art. 62 al. 1 let. b LEI, applicable par le renvoi de l’art. 63 al. 2 LEI, justifiant la révocation de son autorisation d’établissement, ce qu’elle ne conteste du reste pas, de sorte qu’il n’est pas nécessaire de vérifier au surplus si les conditions d’application de l’art. 63 al. 1 let. b LEI sont également remplies (arrêt du Tribunal fédéral 2D_61/2015 précité consid. 2.1). 7) a. La recourante conteste la décision litigieuse sous l’angle de la proportionnalité au sens des art. 96 al. 1 LEI et 8 § 2 CEDH.</w:t>
      </w:r>
    </w:p>
    <w:p>
      <w:r>
        <w:t>Dès lors que l’examen de la proportionnalité sous l’angle de l’art. 8 § 2 CEDH se confond avec celui imposé par l’art. 96 al. 1 LEI, il peut être</w:t>
      </w:r>
    </w:p>
    <w:p>
      <w:r>
        <w:t>- 17/25 - A/1315/2018 effectué conjointement (arrêt du Tribunal fédéral 2D_43/2019 du 15 octobre 2019 consid. 5.2), étant précisé que, dans sa jurisprudence récente, le Tribunal fédéral a jugé qu’un séjour légal d’environ dix ans permettait en principe de se prévaloir de l’art. 8 CEDH sous l’angle de la vie privée et que l’intégration suffisante devait être prise en compte dans l’examen de la proportionnalité de l’art. 8 § 2 CEDH (ATF 144 I 266 consid. 3.8 et 3.9).</w:t>
      </w:r>
    </w:p>
    <w:p>
      <w:r>
        <w:t>b. En vertu de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w:t>
      </w:r>
    </w:p>
    <w:p>
      <w:r>
        <w:t>De jurisprudence constante, rendue en application des art. 96 al. 1 LEI et 8 §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(ATF 139 I 31 consid. 2.3.1 ; arrêt du Tribunal fédéral 2C_781/2018 du 28 août 2019 consid. 4.2 et les références citées).</w:t>
      </w:r>
    </w:p>
    <w:p>
      <w:r>
        <w:t>Lorsque la mesure de révocation est prononcée en raison de la commission d’une infraction, la peine infligée par le juge pénal est le premier critère à utiliser pour évaluer la gravité de la faute et pour procéder à la pesée des intérêts (ATF 139 I 16 consid. 2.2.1).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w:t>
      </w:r>
    </w:p>
    <w:p>
      <w:r>
        <w:t>- 18/25 - A/1315/2018 rigoureuse que le bien juridique menacé est important. La jurisprudence se montre particulièrement rigoureuse en présence d’infractions à la législation fédérale sur les stupéfiants, d’actes de violence criminelle et d’infractions contre l’intégrité sexuelle (ATF 139 II 121 consid. 5.3). Lors d’infractions pénales graves, il existe, sous réserve de liens personnels ou familiaux prépondérants, un intérêt public digne de protection à mettre fin au séjour d’un étranger afin de préserver l’ordre public et à prévenir de nouveaux actes délictueux (ATF 139 II 121 consid. 5.5.2 ; arrêt du Tribunal fédéral 2C_781/2018 précité consid. 4.3 et les références citées).</w:t>
      </w:r>
    </w:p>
    <w:p>
      <w:r>
        <w:t>La durée de présence en Suisse d’un étranger constitue un autre critère très important. Plus cette durée est longue, plus les conditions pour prononcer l’expulsion administrative doivent être appréciées restrictivement (ATF 135 II 377 consid. 4.4 et 4.5).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 arrêt du Tribunal fédéral 2C_781/2018 précité consid. 4.4 et les références citées).</w:t>
      </w:r>
    </w:p>
    <w:p>
      <w:r>
        <w:t>c.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t>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comme précédemment mentionné en application de l’art. 96 al. 1 LEI. Par ailleurs,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w:t>
      </w:r>
    </w:p>
    <w:p>
      <w:r>
        <w:t>- 19/25 - A/1315/2018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8) a. En l’espèce, c’est à la lumière de ces principes qu’il convient d’examiner la proportionnalité de la décision prononcée à l’encontre de la recourante par l’autorité intimée et confirmée par le TAPI.</w:t>
      </w:r>
    </w:p>
    <w:p>
      <w:r>
        <w:t>b. La recourante a été condamnée, de manière définitive à la suite de l’arrêt de la chambre pénale du 17 janvier 2013, à une peine privative de liberté de vingt ans pour assassinat, interruption de grossesse punissable et atteinte à la paix des morts en lien avec des faits s’étant déroulés en novembre 2007.</w:t>
      </w:r>
    </w:p>
    <w:p>
      <w:r>
        <w:t>Sa faute, comme celle de son comparse, a été qualifiée d’exceptionnellement grave, gravité soulignée par la préméditation et leur volonté délictueuse particulièrement intense. Ses mobiles, soit éliminer tant une rivale que son enfant dans la mesure où elle n’acceptait pas la perspective d’une naissance qui risquait de lui causer des désagréments, soit péjorer encore sa relation déjà dégradée avec son compagnon ou y mettre un terme, étaient particulièrement égoïstes et odieux. L’intéressée a participé de manière active et lucide, pendant à tout le moins quelques jours, à la préparation du crime. Elle aurait pu mettre fin à l’assassinat et à interruption de grossesse punissable même pendant les minutes durant lesquelles la victime résistait et se débattait avant de succomber. Après cet acte, elle a froidement et méthodiquement, avec son compagnon, mis en œuvre la disparition du corps de la victime. Elle n’a admis les faits que lors des débats d’appel. Elle a exprimé beaucoup de regrets sur la façon dont les choses s’étaient passées, mais peu d’empathie pour la famille de la victime.</w:t>
      </w:r>
    </w:p>
    <w:p>
      <w:r>
        <w:t>En raison d’un trouble de la personnalité, sa responsabilité pénale était faiblement restreinte au moment des faits, s’agissant de sa faculté de se déterminer d’après son appréciation du caractère illicite de ses actes. Cette circonstance a, dans la fixation de la peine, été compensée par le fait qu’elle avait un antécédent, à savoir la condamnation du 8 février 2000. À cet égard, selon l’arrêt de la Cour correctionnelle, les faits qui étaient reprochés à l’intéressée étaient incontestablement graves, elle avait agi avec une absence manifeste de scrupules, lâchement, cédant à la force générée par un groupe afin d’obtenir rapidement et sans effort de l’argent et usant gratuitement de violence, et ses antécédents, compte tenu de son âge, étaient mauvais dès lors qu’elle avait déjà comparu devant le Tribunal de la jeunesse et qu’elle semblait présenter une « résistance certaine à la sanction pénale ».</w:t>
      </w:r>
    </w:p>
    <w:p>
      <w:r>
        <w:t>Au surplus, il sied de relever qu’à l’époque de l’assassinat, l’intéressée, qui vivait en couple avec des difficultés relationnelles, était déjà mère de C______, ce qui ne l’a pas empêchée de commettre son crime.</w:t>
      </w:r>
    </w:p>
    <w:p>
      <w:r>
        <w:t>- 20/25 - A/1315/2018</w:t>
      </w:r>
    </w:p>
    <w:p>
      <w:r>
        <w:t>Enfin, la recourante a commis une infraction pour laquelle le législateur a entendu se montrer particulièrement intransigeant, au regard de la peine-menace de l’art. 112 CP, qui punit l’assassinat d’une peine privative de liberté à vie ou d’une peine privative de liberté de dix ans au moins.</w:t>
      </w:r>
    </w:p>
    <w:p>
      <w:r>
        <w:t>Il existe donc, sous réserve de liens personnels ou familiaux prépondérants, un intérêt public digne de protection à mettre fin au séjour de l’intéressée afin de préserver l’ordre public et de prévenir de nouveaux actes délictueux.</w:t>
      </w:r>
    </w:p>
    <w:p>
      <w:r>
        <w:t>c. Il est vrai que la recourante semble avoir évolué positivement dans le cadre de son incarcération à la suite de l’arrêt pénal du 17 janvier 2013. Grâce notamment à la thérapie qu’elle suit dans sa prison dans le canton de Berne, elle apparaît avoir développé d’authentiques remords à l’égard de la victime et de la famille de cette dernière, à laquelle elle verse une petite somme chaque mois dans le cadre de la loi fédérale sur l’aide aux victimes d’infractions du 23 mars 2007 (loi sur l’aide aux victimes, LAVI - RS 312.5) ; elle apparaît aussi avoir mûri émotionnellement, être plus réfléchie et reconnaître ses schémas relationnels dysfonctionnels. Néanmoins, ses thérapeutes, dans leur rapport du 21 mars 2018, n’ont pas considéré comme possible actuellement d’évaluer comment elle gérerait ses relations intimes à l’avenir. À cet égard, la commission d’évaluation de la dangerosité s’est, dans sa décision du 25 juillet 2018, inquiétée d’un possible caractère exclusif de sa relation avec son fils dont elle ne semblait pas mesurer les risques au vu du contexte du crime passé et des rapports de son thérapeute évoquant sa crainte d’être rejetée comme un facteur de risque de passage à l’acte, les congés, pour lesquels elle ne présentait pas de danger, devant faire l’objet d’évaluations attentives, notamment au niveau de la gestion des émotions et des frustrations chez l’intéressée.</w:t>
      </w:r>
    </w:p>
    <w:p>
      <w:r>
        <w:t>En outre, le fait que la recourante ait fait preuve d’un comportement adéquat durant l’exécution de sa peine n’est pas de nature à apporter un nouvel éclairage, car il s’agit d’une circonstance généralement attendue de tout délinquant, et la vie à l’intérieur d’un établissement pénitentiaire ne saurait être comparée à la vie en société, pour ce qui est des possibilités de retomber dans la délinquance.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ce qui vaut aussi, bien qu’à un degré moindre compte tenu de la plus grande liberté dont jouit la personne, pour une période de libération conditionnelle (ATF 139 II 121 consid. 5.5.2 ; arrêt du Tribunal fédéral 2C_725/2018 du</w:t>
      </w:r>
    </w:p>
    <w:p>
      <w:r>
        <w:rPr>
          <w:b/>
        </w:rPr>
        <w:t>E. 13</w:t>
      </w:r>
    </w:p>
    <w:p>
      <w:r>
        <w:t>novembre 2018 consid. 5.2).</w:t>
      </w:r>
    </w:p>
    <w:p>
      <w:r>
        <w:t>Compte tenu de l’ensemble des circonstances, en particulier de la gravité extrême de l’infraction commise en novembre 2007, un risque de récidive, même actuellement faible, ne peut pas être exclu à l’avenir, après la fin de sa détention.</w:t>
      </w:r>
    </w:p>
    <w:p>
      <w:r>
        <w:t>- 21/25 - A/1315/2018 Or la jurisprudence en matière de droit des étrangers considère que lors d’infractions pénales graves, même un risque faible de récidive n’a pas à être toléré, sous réserve de liens personnels ou familiaux prépondérants (arrêt du Tribunal fédéral 2C_982/2015 du 20 juillet 2016 consid. 3.3.1).</w:t>
      </w:r>
    </w:p>
    <w:p>
      <w:r>
        <w:t>d. L’intérêt privé de la recourante à demeurer en Suisse consiste en ce qu’elle y a vécu depuis l’âge de 3 ans et que toute sa famille proche y réside, en particulier son fils avec lequel elle apparaît avoir noué une relation étroite, faite également d’investissements en temps et énergie par rapport aux occupations et contacts extérieurs de celui-ci, ce en dépit de sa détention et du fait qu’elle n’en a pas la garde. Seule sa relation avec son enfant, mineur, serait protégée par l’art. 8 CEDH (ATF 145 I 227), mais elle n’apparaît pas étroite et effective au sens de la jurisprudence faute de ménage commun (ATF 131 II 265 consid. 5 à tout le moins par analogie).</w:t>
      </w:r>
    </w:p>
    <w:p>
      <w:r>
        <w:t>Un renvoi au B______ entraînerait incontestablement une réduction des contacts de l’intéressée avec C______, douloureuse tant pour ce dernier que pour l’intéressée. Leur éloignement géographique ne romprait toutefois pas les relations entre la recourante et son fils. L’exécution de son renvoi ne pourrait pas être effective avant le 5 novembre 2027 lorsque C______ aurait 21 ans, voire éventuellement le 5 mars 2021 lorsqu’il aurait presque 15 ans. Celui-ci pourrait maintenir des contacts réguliers avec sa mère par téléphone – comme actuellement ou d’une manière réduite –, par lettres ou par le biais des nouveaux moyens de communication, y compris vidéo à distance, même si cela n’aurait pas la même intensité que des contacts physiques, et il pourrait la retrouver au B______ à l’occasion de vacances.</w:t>
      </w:r>
    </w:p>
    <w:p>
      <w:r>
        <w:t>Au demeurant, la recourante n’a plus fait ménage commun avec son fils depuis que ce dernier avait moins de 2 ans, après quoi elle ne l’a revu que dans le cadre de visites de ce dernier à la prison, et ce n’est que depuis peu de temps, soit depuis décembre 2018, qu’elle bénéficie de congés une fois par mois de 28 heures et une autre fois par mois de 5 heures et qu’elle peut ainsi être logée au même domicile que lui pour une très courte durée. Ces circonstances relativisent quelque peu la réduction des contacts entre la mère et son fils qui découlerait d’un renvoi au B______.</w:t>
      </w:r>
    </w:p>
    <w:p>
      <w:r>
        <w:t>Les considérations qui précèdent valent également, dans une mesure moins intense, pour les relations entre l’intéressée et sa mère ainsi que les autres membres de sa famille vivant en Suisse, qui, bien que non protégées par l’art. 8 CEDH si ce n’est éventuellement indirectement sous l’angle du droit au respect de la vie privée (ATF 144 I 266), apparaissent étroites.</w:t>
      </w:r>
    </w:p>
    <w:p>
      <w:r>
        <w:t>e. On ne saurait sous-estimer les difficultés auxquelles la recourante serait confrontée en cas de renvoi vers le B______, pays où elle ne s’est rendue qu’une</w:t>
      </w:r>
    </w:p>
    <w:p>
      <w:r>
        <w:t>- 22/25 - A/1315/2018 fois, il y a environ vingt-cinq ans. Un tel renvoi constituerait, à n’en pas douter, une situation difficile pour elle.</w:t>
      </w:r>
    </w:p>
    <w:p>
      <w:r>
        <w:t>Néanmoins, l’intéressée, même vivant au B______, dans lequel le coût de la vie est notoirement moins élevé qu’en Suisse, pourrait si besoin recevoir un soutien financier de la part de sa mère et des autres membres de sa famille vivant en Suisse. Le fait que le versement d’argent vers ce pays serait plus compliqué qu’à l’intérieur de la Suisse ne le rendrait pas impossible.</w:t>
      </w:r>
    </w:p>
    <w:p>
      <w:r>
        <w:t>En outre, la recourante pourrait, au B______, recevoir un soutien à tout le moins affectif de la part de son père, voire d’autres membres de la très nombreuse famille de ce dernier. Les déclarations de la mère de l’intéressée quant au manque de fiabilité du père de cette dernière et quant à la non-connaissance des coordonnées de celui-ci s’expliquent en grande partie par son souhait que la recourante puisse rester en Suisse, et doivent ainsi être relativisées. Il n’est pas crédible que celle-ci ne puisse pas obtenir les coordonnées de son père, étant donné qu’elle l’a revu il y a environ un an et demi, ce qui dénote du reste un intérêt de celui-ci pour le sort de sa fille.</w:t>
      </w:r>
    </w:p>
    <w:p>
      <w:r>
        <w:t>Enfin, l’intéressée parle, comprend et lit l’espagnol, et elle a acquis – et est en train – d’acquérir des expériences et formations en détention. Ces circonstances pourraient également l’aider dans son intégration au B______.</w:t>
      </w:r>
    </w:p>
    <w:p>
      <w:r>
        <w:t>Il découle de ce qui précède que la recourante, encore jeune, serait capable et en mesure de s’intégrer au B______, malgré d’incontestables difficultés.</w:t>
      </w:r>
    </w:p>
    <w:p>
      <w:r>
        <w:t>f. Au vu de l’ensemble des circonstances, de la jurisprudence et de l’extrême gravité de l’infraction commise, l’intérêt public à éloigner la recourante de Suisse l’emporte sur son intérêt à rester en Suisse.</w:t>
      </w:r>
    </w:p>
    <w:p>
      <w:r>
        <w:t>En conséquence, c’est sans excès ni abus de son pouvoir d’appréciation que le DSES a révoqué l’autorisation d’établissement de la recourante, décision qui a été confirmée par le TAPI et qui est conforme au droit. 9)</w:t>
      </w:r>
    </w:p>
    <w:p>
      <w:r>
        <w:t>Aux termes de l’art. 64 al. 1 let. c LEI, tout étranger dont l’autorisation est refusée, révoquée ou n’est pas prolongée après un séjour autorisé est renvoyé.</w:t>
      </w:r>
    </w:p>
    <w:p>
      <w:r>
        <w:t>Le renvoi d’un étranger ne peut toutefois être ordonné que si l’exécution de cette mesure est possible, licite ou raisonnablement exigible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- 23/25 - A/1315/2018 10) Dans le cas présent, les conditions du retour de la recourante dans son pays d’origine ont été examinées ci-dessus. Il ne ressort pas du dossier que son renvoi serait impossible, illicite ou inexigible, de sorte qu’à la suite de la révocation de son autorisation d’établissement, c’est à bon droit que non seulement le renvoi a été prononcé mais aussi son exécution ordonnée, dès sa sortie de prison. 11) Vu ce qui précède, le jugement querellé est en tous points conforme au droit et le recours sera rejeté.</w:t>
      </w:r>
    </w:p>
    <w:p>
      <w:r>
        <w:t>Vu l’issue du litige, un émolument de CHF 400.- sera mis à la charge de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