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ATA/173/2012 vom 27. März 2012</w:t>
      </w:r>
    </w:p>
    <w:p>
      <w:r>
        <w:t>GE Cour de justice, 2012-03-27, FR</w:t>
      </w:r>
    </w:p>
    <w:p>
      <w:r>
        <w:rPr>
          <w:b/>
        </w:rPr>
        <w:t xml:space="preserve">Quelle: </w:t>
      </w:r>
      <w:r>
        <w:t>https://mcp.opencaselaw.ch/entscheid/ge_gerichte_ATA_173_2012</w:t>
      </w:r>
    </w:p>
    <w:p>
      <w:r>
        <w:t>FR: GE_GERICHTE ATA/173/2012 du 27 mars 2012</w:t>
      </w:r>
    </w:p>
    <w:p>
      <w:r>
        <w:t>IT: GE_GERICHTE ATA/173/2012 del 27 marzo 2012</w:t>
      </w:r>
    </w:p>
    <w:p>
      <w:pPr>
        <w:pStyle w:val="Heading2"/>
      </w:pPr>
      <w:r>
        <w:t>Regeste</w:t>
      </w:r>
    </w:p>
    <w:p>
      <w:r>
        <w:t>Résumé: L'obligation faite par le Scom à une société de taxis déployant son activité en Valais, d'obtenir une autorisation afin de pouvoir prendre en charge des passagers dans le canton de Genève constitue une restriction illicite au libre accès au marché. En effet, aucun élément ne permet de renverser la présomption de l'équivalence de l'art. 2 al. 5 LMI, ni aucun motif d'intérêt public, de faire apparaître comme indispensables au sens de l'art. 3 al. 1 let. b LMI des connaissances théoriques et pratiques de la topographie genevoise par les offreurs externes. Les contraintes administratives et financières imposées par la loi genevoise au offreurs externes représentent des mesures protectionnistes destinées à favoriser les intérêts économiques locaux. La législation cantonale viole ainsi le principe de la force dérogatoire du droit fédéral.</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Interjetés en temps utile devant la juridiction compétente, les recours sont recevables de ce point de vue (art. 132 LOJ ; art. 62 al. 1 let. a de la loi sur la procédure administrative du 12 septembre 1985 - LPA - E 5 10).</w:t>
      </w:r>
    </w:p>
    <w:p>
      <w:r>
        <w:t>- 7/13 -</w:t>
      </w:r>
    </w:p>
    <w:p>
      <w:r>
        <w:t>A/63/2011</w:t>
      </w:r>
    </w:p>
    <w:p>
      <w:r>
        <w:t>M. X______ et la société, destinataires de la décision attaquée, et la COMCO, dans la mesure où elle estime que la décision du Scom du 9 décembre 2010 constitue une restriction indue à l'accès au marché au sens de la LMI, bénéficient de la qualité pour recourir (art. 1, 9 LMI et 60 al. 1 lit. b et e LPA).</w:t>
      </w:r>
    </w:p>
    <w:p>
      <w:r>
        <w:rPr>
          <w:b/>
        </w:rPr>
        <w:t>E. 2</w:t>
      </w:r>
    </w:p>
    <w:p>
      <w:r>
        <w:t>a. La LMI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(art. 1 al. 2 LMI).</w:t>
      </w:r>
    </w:p>
    <w:p>
      <w:r>
        <w:t>b. L'art. 2 LMI énonce le principe de la liberté d'accès au marché ainsi que ses implications. Ce principe repose sur la présomption posée par l'art. 2 al. 5 LMI aux termes duquel les réglementations cantonales ou communales sur l’accès au marché sont considérées comme équivalentes. Sous le titre "Restrictions à la liberté d'accès au marché", l'art. 3 LMI définit les conditions auxquelles de telles restrictions sont admissibles, précisant que ces dernières doivent prendre la forme de charges ou de conditions et ne sont autorisées que si elles (art. 3 al. 1 LMI) : a) s’appliquent de la même façon aux offreurs locaux ; b) sont indispensables à la préservation d’intérêts publics prépondérants ; c) répondent au principe de la proportionnalité.</w:t>
      </w:r>
    </w:p>
    <w:p>
      <w:r>
        <w:t>Les restrictions ne répondent pas au principe de la proportionnalité lorsque (al. 2) : a) une protection suffisante des intérêts publics prépondérants peut être obtenue au moyen des dispositions applicables au lieu de provenance ; b) les attestations de sécurité ou certificats déjà produits par l’offreur au lieu de provenance sont suffisants ; c) le siège ou l’établissement au lieu de destination est exigé comme préalable à l’autorisation d’exercer une activité lucrative ; d) une protection suffisante des intérêts publics prépondérants peut être garantie par l’activité que l’offreur a exercée au lieu de provenance.</w:t>
      </w:r>
    </w:p>
    <w:p>
      <w:r>
        <w:rPr>
          <w:b/>
        </w:rPr>
        <w:t>E. 3</w:t>
      </w:r>
    </w:p>
    <w:p>
      <w:r>
        <w:t>En l'espèce, la société déploie son activité et offre des services depuis la commune de Bagnes en Valais, localité dans laquelle elle a obtenu une autorisation d'exercer du service des patentes et devrait pouvoir offrir ses services de taxis dans n'importe quel canton. L'obligation qui lui a été faite par le Scom d'obtenir une autorisation afin de pouvoir prendre en charge des passagers dans le canton de Genève constitue dès lors une restriction au libre accès au marché dont</w:t>
      </w:r>
    </w:p>
    <w:p>
      <w:r>
        <w:t>- 8/13 -</w:t>
      </w:r>
    </w:p>
    <w:p>
      <w:r>
        <w:t>A/63/2011</w:t>
      </w:r>
    </w:p>
    <w:p>
      <w:r>
        <w:t>il convient d'examiner le bien-fondé en application des principes rappelés ci- dessus.</w:t>
      </w:r>
    </w:p>
    <w:p>
      <w:r>
        <w:rPr>
          <w:b/>
        </w:rPr>
        <w:t>E. 4</w:t>
      </w:r>
    </w:p>
    <w:p>
      <w:r>
        <w:t>Selon les recourants, les conditions posées par le RTaxis seraient constitutives d'une restriction au libre accès au marché, incompatible avec la LMI, au motif que les réglementations cantonales genevoise et valaisanne sur les taxis seraient équivalentes au sens de l'art. 2 al. 5 LMI. Aucune restriction au libre accès au marché n'était dès lors envisageable, sans même qu'il soit nécessaire d'examiner les autres conditions de l'art. 3 LMI. Le Scom soutient en revanche que ces deux réglementations sont différentes puisque les chauffeurs genevois doivent avoir réussi les examens prévus par la LTaxis alors que ce n'est pas le cas pour les chauffeurs valaisans. Or, la connaissance théorique et pratique de la topographie de la ville et du canton de Genève, qui était une branche des examens susmentionnés, était un élément propre et indispensable, pour un chauffeur de taxi, à la préservation de l'intérêt des consommateurs à pouvoir voyager suivant l'itinéraire le meilleur marché possible.</w:t>
      </w:r>
    </w:p>
    <w:p>
      <w:r>
        <w:rPr>
          <w:b/>
        </w:rPr>
        <w:t>E. 5</w:t>
      </w:r>
    </w:p>
    <w:p>
      <w:r>
        <w:t>a. La révision de la LMI du 16 décembre 2005 a notamment eu pour but de resserrer le régime d'exception de l'art. 3 LMI qui, dans certaines conditions, autorise des restrictions au libre accès au marché, et ancrer de manière explicite, dans la loi, une présomption réfragable de l'équivalences des réglementations cantonales et communales d'accès au marché (Message du 24 novembre 2004 relatif à cette révision, FF 2005 p. 437 ss ; voir aussi ATF 135 II 12 in JdT 2009 I 34 et les références citées).</w:t>
      </w:r>
    </w:p>
    <w:p>
      <w:r>
        <w:t>b. Dans ce dernier arrêt, la Haute Cour a retenu, s'agissant de l'exercice de manière indépendante de la profession de psychothérapeute dans les cantons de Bâle et Zürich, que les réglementations relatives à l'autorisation d'exercer étaient équivalentes alors même que ce canton-ci avait des exigences plus élevées au sujet de la formation de base. Ce qui importait, c'était que les intérêts publics poursuivis (en l'espèce la protection de la santé des patients) soient identiques. Une restriction de l'accès au marché était de par la loi disproportionnée, si une protection suffisante des intérêts publics prépondérants était déjà obtenue au moyen des dispositions du canton de provenance (ATF 135 II 12 précité consid. 2.4).</w:t>
      </w:r>
    </w:p>
    <w:p>
      <w:r>
        <w:rPr>
          <w:b/>
        </w:rPr>
        <w:t>E. 6</w:t>
      </w:r>
    </w:p>
    <w:p>
      <w:r>
        <w:t>a. La législation cantonale genevoise sur les taxis distingue les taxis de service public (concession d'un usage accru du domaine public) des taxis de service privé (taxi sur appel) (art. 3 al. 3 et 4 LTaxis). Ces derniers ne peuvent pas stationner sur les emplacements réservés aux taxis de service public et doivent être en mesures de prouver la réservation de la course par le client qu'ils viennent prendre en charge (art. 12 et ss. RTaxis).</w:t>
      </w:r>
    </w:p>
    <w:p>
      <w:r>
        <w:t>b. A teneur de l'art. 11 RTaxis, les chauffeurs de taxis ou de limousines en provenance d'autres cantons ou de la communauté européenne sont soumis au</w:t>
      </w:r>
    </w:p>
    <w:p>
      <w:r>
        <w:t>- 9/13 -</w:t>
      </w:r>
    </w:p>
    <w:p>
      <w:r>
        <w:t>A/63/2011</w:t>
      </w:r>
    </w:p>
    <w:p>
      <w:r>
        <w:t>même régime que les chauffeurs de taxis de service privé ou de limousines. Ils doivent requérir une autorisation délivrée par le service et leur titre de formation doit être jugé équivalent à celui obtenu par les chauffeurs de taxis genevois (al. 2 ; art. 18 LTaxis).</w:t>
      </w:r>
    </w:p>
    <w:p>
      <w:r>
        <w:t>L'autorisation est strictement personnelle et intransmissible, d'une durée d'une année au plus, renouvelable et peut être retirée en cas de non-respect de ses conditions d'exercice (art. 11 al. 3 RTaxis). Elle est soumise au paiement d'un émolument de CHF 400.- par année (art. 79 al. 1 ch. 4 RTaxis).</w:t>
      </w:r>
    </w:p>
    <w:p>
      <w:r>
        <w:t>Une vignette, délivrée par le service et comportant la date d'échéance de l'autorisation, est fixée à l'intérieur du véhicule, de manière aisément visible de l'extérieur. Le service peut décider d'incorporer dans la vignette des données électroniques de détection permettant le contrôle de l'accès à l'aéroport (art. 11 al. 4 RTaxis).</w:t>
      </w:r>
    </w:p>
    <w:p>
      <w:r>
        <w:t>c. Selon l'art. 10 LTaxis, l'autorisation d'exploiter un taxi de service privé est délivrée par le département à une personne physique lorsqu’elle :</w:t>
      </w:r>
    </w:p>
    <w:p>
      <w:r>
        <w:t>a) est au bénéfice d’une carte professionnelle de chauffeur de taxi ;</w:t>
      </w:r>
    </w:p>
    <w:p>
      <w:r>
        <w:t>b) dispose d’une adresse professionnelle fixe dans le canton de Genève à laquelle elle peut être atteinte, notamment par téléphone ou par le biais de la centrale à laquelle elle est affiliée ;</w:t>
      </w:r>
    </w:p>
    <w:p>
      <w:r>
        <w:t>c) justifie de sa solvabilité et de son affiliation à une caisse de compensation;</w:t>
      </w:r>
    </w:p>
    <w:p>
      <w:r>
        <w:t>d) est propriétaire ou preneur de leasing d’un véhicule répondant aux exigences du droit fédéral et de la présente loi, immatriculé à son nom dans le canton de Genève ;</w:t>
      </w:r>
    </w:p>
    <w:p>
      <w:r>
        <w:t>e) dispose d’une place de stationnement privée pour garer le taxi, en dehors des périodes de circulation.</w:t>
      </w:r>
    </w:p>
    <w:p>
      <w:r>
        <w:t>Pour se voir octroyer une carte professionnelle de chauffeur de taxis, le conducteur doit en particulier avoir l’exercice des droits civils, être Suisse ou au bénéfice d’une autorisation lui permettant de travailler en Suisse comme indépendant ou comme employé ; offrir des garanties de moralité et de comportement suffisantes et avoir réussi les examens prévus à l’art. 26 LTaxis (art. 6 Ltaxis). Ces derniers ont notamment pour objet de vérifier que les candidats possèdent les connaissances nécessaires au regard des buts poursuivis par la loi et portent en particulier sur la connaissance théorique et pratique de la topographie de la ville et du canton, les obligations résultant de la loi, le maniement du compteur, la maîtrise du français et les rudiments de l’anglais (art. 26 LTaxis).</w:t>
      </w:r>
    </w:p>
    <w:p>
      <w:r>
        <w:t>- 10/13 -</w:t>
      </w:r>
    </w:p>
    <w:p>
      <w:r>
        <w:t>A/63/2011</w:t>
      </w:r>
    </w:p>
    <w:p>
      <w:r>
        <w:t>d. La loi valaisanne sur les routes du 3 septembre 1965 (RSVS 725.1) prévoit quant à elle que toute personne qui se propose d'exploiter professionnellement et publiquement un service de transport de personnes (service de taxis) doit préalablement en obtenir l'autorisation de l'autorité de la commune où s'exercera son activité.</w:t>
      </w:r>
    </w:p>
    <w:p>
      <w:r>
        <w:t>Les conditions à remplir pour obtenir l'autorisation d'exploiter un service de taxis avec une concession dans la commune de Bagnes (VS) sont réglées en détails par un règlement communal sur le service des taxis du 24 mars 2009 (ci- après : le règlement).</w:t>
      </w:r>
    </w:p>
    <w:p>
      <w:r>
        <w:t>Ainsi, à teneur de l'art. 6 règlement, le requérant doit avoir une bonne réputation, ne pas être insolvable, être au bénéfice d'un permis de conduire requis par la loi, s'engager à exploiter professionnellement, de manière permanente et à l'année, une entreprise de taxis sur la commune de Bagne, jouir de ses droits civils et civiques, disposer sur le territoire de la commune de locaux suffisants pour garer et entretenir le ou les véhicules, disposer de véhicules et de conducteurs qui répondent aux exigences légales, offrir aux conducteurs des conditions garantissant la sécurité du service, avoir conclu une assurance RC illimitée, disposer d'une permanence téléphonique et, enfin, le cas échéant, être au bénéfice d'une licence de transport requise par la loi. Ces conditions sont réexaminées lors de chaque renouvellement de l'autorisation, c'est-à-dire chaque année (art. 9 règlement). Si l'autorisation est requise par une personne morale, le détenteur économique et le représentant légal doivent remplir les conditions de l'art. 6 règlement (art. 8 règlement). Avec sa demande, le requérant doit aussi fournir le permis de conduire requis par la législation fédérale pour chacun des conducteurs, un acte de bonne vie et mœurs, un extrait de l'office des poursuites et du casier judiciaire (art. 10 règlement). Les conducteurs de taxis doivent enfin être titulaires du permis de conduire nécessaire pour le transport de personnes (art. 14 al. 1 règlement).</w:t>
      </w:r>
    </w:p>
    <w:p>
      <w:r>
        <w:rPr>
          <w:b/>
        </w:rPr>
        <w:t>E. 7</w:t>
      </w:r>
    </w:p>
    <w:p>
      <w:r>
        <w:t>L'examen des conditions d'accès au marché permet de constater que les conditions requises pour l'exploitation de taxis, si elles ne sont pas identiques, sont à tout le moins équivalentes à Genève et en Valais. En substance les deux cantons exigent que les titulaires d'autorisations jouissent d'une bonne réputation, soient solvables et que leurs véhicules de service répondent aux exigences légales. La seule différence concerne l'examen auquel les conducteurs genevois doivent se soumettre (art. 26 LTaxis), afin notamment de valider leurs connaissances théoriques et pratiques de la topographie. Cette différence n'apparaît toutefois pas comme un élément indispensable à la préservation de l'intérêt public poursuivi, à savoir la protection des passagers de taxis. C'est si vrai que le Scom n'en fait pas une condition à l'octroi de l'autorisation genevoise d'exploiter, délivrée aux personnes ayant leur domicile ou siège dans un autre canton contre le seul paiement d'un émolument de CHF 400.-, admettant pour le surplus l'équivalence</w:t>
      </w:r>
    </w:p>
    <w:p>
      <w:r>
        <w:t>- 11/13 -</w:t>
      </w:r>
    </w:p>
    <w:p>
      <w:r>
        <w:t>A/63/2011</w:t>
      </w:r>
    </w:p>
    <w:p>
      <w:r>
        <w:t>des conditions d’exercice de la profession du recourant avec celle des chauffeurs de taxis genevois.</w:t>
      </w:r>
    </w:p>
    <w:p>
      <w:r>
        <w:t>Les recourants relèvent enfin, sans être contredits, que Genève est le seul canton suisse à imposer de telles conditions aux offreurs externes (voir également à ce sujet l'ATF 135 II 12 précité consid. 2.5), ce qui démontre bien l'absence d'intérêt public à l'exigence susmentionnée.</w:t>
      </w:r>
    </w:p>
    <w:p>
      <w:r>
        <w:t>Partant, en l'absence de tout élément permettant de renverser la présomption d'équivalence des prescriptions de l'art. 2 al. 5 LMI et faute de discerner un motif d'intérêt public qui ferait apparaître comme "indispensable", au sens de l'art. 3 al. 1er let. b LMI - pour le maintien du niveau de protection voulu par le canton de Genève -, que les offreurs externes disposent de connaissances théoriques et pratiques de la topographie genevoise, la chambre de céans retiendra que la restriction au libre accès au marché posée par la réglementation genevoise est illicite.</w:t>
      </w:r>
    </w:p>
    <w:p>
      <w:r>
        <w:rPr>
          <w:b/>
        </w:rPr>
        <w:t>E. 8</w:t>
      </w:r>
    </w:p>
    <w:p>
      <w:r>
        <w:t>a. Les restrictions visées à l'art. 3 al. 1 LMI ne doivent encore en aucun cas constituer une barrière déguisée à l'accès au marché, destinées à favoriser les intérêts économiques locaux (art. 3 al. 3 LMI).</w:t>
      </w:r>
    </w:p>
    <w:p>
      <w:r>
        <w:t>b. Aux termes de l'art. 3 al. 4 LMI, les décisions relatives aux restrictions doivent faire l'objet d'une procédure simple, rapide et gratuite.</w:t>
      </w:r>
    </w:p>
    <w:p>
      <w:r>
        <w:t>c. Sont en principe incompatibles avec la LMI, les réglementations ou décisions qui ont pour effet d'affecter la capacité de l'offreur externe de fournir sa prestation de service, de rendre la prestation de l'offreur externe plus onéreuse, d'imposer des obstacles administratifs propres à décourager l'offreur externe ou de soumettre l'offreur externe à des conditions supplémentaires à celles en vigueur à son lieu d'établissement (M. BIANCHI DELLA PORTA, CR Concurrence, notes 43 ss ad art. 2 LMI, p. 1279 s.).</w:t>
      </w:r>
    </w:p>
    <w:p>
      <w:r>
        <w:t>d. Le Tribunal fédéral a réaffirmé le principe de la gratuité dans plusieurs arrêts, précisant que la perception d'un émolument contredisait de toute manière ce principe (ATF 123 I 313 = JdT 1999 I 300 et 125 I 264 = SJ 1999 I 498).</w:t>
      </w:r>
    </w:p>
    <w:p>
      <w:r>
        <w:rPr>
          <w:b/>
        </w:rPr>
        <w:t>E. 9</w:t>
      </w:r>
    </w:p>
    <w:p>
      <w:r>
        <w:t>Comme vu ci-dessus, la législation genevoise sur les taxis impose des contraintes administratives (obligation de requérir une autorisation spécifique de prouver en tout temps la réservation de la course, d'apposer une vignette sur le pare-brise et de s'annoncer au préalable afin de pouvoir prendre en charges ses clients dans le périmètre de l'AIG) et financière (perception d'un émolument annuel de CHF 400.- pour l'obtention d'une autorisation) aux offreurs externes qui souhaiteraient prendre en charge des clients sur le territoire genevois (art. 18 LTaxis, 11 al. 2, 3, 5, 25 et 79 al. 1 ch. 4 RTaxis).</w:t>
      </w:r>
    </w:p>
    <w:p>
      <w:r>
        <w:t>- 12/13 -</w:t>
      </w:r>
    </w:p>
    <w:p>
      <w:r>
        <w:t>A/63/2011</w:t>
      </w:r>
    </w:p>
    <w:p>
      <w:r>
        <w:t>Interpellé sur ce dernier point, le Conseil fédéral avait à l'époque relevé que la législation genevoise sur les taxis apparaissait comme problématique, dès lors que les prestataires de services de taxi genevois étaient certes également soumis à un émolument de CHF 400.- pour l'octroi d'une autorisation, mais que celle-ci n'était perçue qu'une fois, et non annuellement (http://www.parlament.ch/f/suche/pages/geschaefte.aspx?gesch_id=20103314).</w:t>
      </w:r>
    </w:p>
    <w:p>
      <w:r>
        <w:t>Force est dès lors d'admettre que ces différentes mesures et émolument, en tant qu'ils s'appliquent, sous cette forme, qu'aux seuls offreurs externes, constituent des mesures protectionnistes destinées à favoriser les intérêts économiques locaux. Dans cette mesure, la législation cantonale sur les taxis n'apparaît pas conforme à la loi sur le marché intérieur et viole ainsi le principe de la force dérogatoire du droit fédéral.</w:t>
      </w:r>
    </w:p>
    <w:p>
      <w:r>
        <w:rPr>
          <w:b/>
        </w:rPr>
        <w:t>E. 10</w:t>
      </w:r>
    </w:p>
    <w:p>
      <w:r>
        <w:t>Vu ce qui précède, le recours doit être admis et la décision du Scom annulée. Malgré l’issue du litige, aucun émolument ne sera mis à la charge de l’Etat de Genève (art. 87 al. 1 LPA dans sa nouvelle teneur dès le 27 septembre 2011). Une indemnité de procédure de CHF 1'500.- sera allouée conjointement et solidairement à Monsieur X______ et à la société,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