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ATA/172/2014 vom 18. März 2014</w:t>
      </w:r>
    </w:p>
    <w:p>
      <w:r>
        <w:t>GE Cour de justice, 2014-03-18, FR</w:t>
      </w:r>
    </w:p>
    <w:p>
      <w:r>
        <w:rPr>
          <w:b/>
        </w:rPr>
        <w:t xml:space="preserve">Quelle: </w:t>
      </w:r>
      <w:r>
        <w:t>https://mcp.opencaselaw.ch/entscheid/ge_gerichte_ATA_172_2014</w:t>
      </w:r>
    </w:p>
    <w:p>
      <w:r>
        <w:t>FR: GE_GERICHTE ATA/172/2014 du 18 mars 2014</w:t>
      </w:r>
    </w:p>
    <w:p>
      <w:r>
        <w:t>IT: GE_GERICHTE ATA/172/2014 del 18 marzo 2014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2014, jour ouvrable.</w:t>
      </w:r>
    </w:p>
    <w:p>
      <w:r>
        <w:t>En postant leur réclamation le 3 mars 2014, Mme A______ et M. B______ n’ont pas respecté le délai précité. 3)</w:t>
      </w:r>
    </w:p>
    <w:p>
      <w:r>
        <w:t>Les cas de force majeure sont réservés, conformément à l’art. 16 al. 1 2ème phr. LPA. Tombent sous cette notion, les événements extraordinaires et imprévisibles qui surviennent en dehors de la sphère d’activité de l’intéressé et qui s’imposent à lui de façon irrésistible (ATA/105/2012 du 24 février 2012 consid. 6b et les références citées).</w:t>
      </w:r>
    </w:p>
    <w:p>
      <w:r>
        <w:t>Les intéressés n’invoquent l’existence d’aucun cas de force majeure. 4)</w:t>
      </w:r>
    </w:p>
    <w:p>
      <w:r>
        <w:t>Au vu de ce qui précède, leur réclamation, tardive, sera déclarée irrecevable.</w:t>
      </w:r>
    </w:p>
    <w:p>
      <w:r>
        <w:t>Conformément à la pratique de la chambre de céans en matière de réclamation sur émolument, il ne sera pas perçu d’émolument dans la présente cause, ni alloué d’indemnité.</w:t>
      </w:r>
    </w:p>
    <w:p>
      <w:r>
        <w:t>* * * * *</w:t>
      </w:r>
    </w:p>
    <w:p>
      <w:r>
        <w:t>- 4/4 - A/684/2014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