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ATA/1722/2019 vom 26. November 2019</w:t>
      </w:r>
    </w:p>
    <w:p>
      <w:r>
        <w:t>GE Cour de justice, 2019-11-26, FR</w:t>
      </w:r>
    </w:p>
    <w:p>
      <w:r>
        <w:rPr>
          <w:b/>
        </w:rPr>
        <w:t xml:space="preserve">Quelle: </w:t>
      </w:r>
      <w:r>
        <w:t>https://mcp.opencaselaw.ch/entscheid/ge_gerichte_ATA_1722_2019</w:t>
      </w:r>
    </w:p>
    <w:p>
      <w:r>
        <w:t>FR: GE_GERICHTE ATA/1722/2019 du 26 novembre 2019</w:t>
      </w:r>
    </w:p>
    <w:p>
      <w:r>
        <w:t>IT: GE_GERICHTE ATA/1722/2019 del 26 novembre 2019</w:t>
      </w:r>
    </w:p>
    <w:p>
      <w:pPr>
        <w:pStyle w:val="Heading2"/>
      </w:pPr>
      <w:r>
        <w:t>Erwägungen</w:t>
      </w:r>
    </w:p>
    <w:p>
      <w:r>
        <w:rPr>
          <w:b/>
        </w:rPr>
        <w:t>E. 12</w:t>
      </w:r>
    </w:p>
    <w:p>
      <w:r>
        <w:t>septembre 1985 - LPA - E 5 10). 2)</w:t>
      </w:r>
    </w:p>
    <w:p>
      <w:r>
        <w:t>La recourante se plaint dans un premier grief de déni de justice au sujet de la prise en charge des frais d'avocat pour l'activité antérieure à l'ordonnance de non- entrée en matière.</w:t>
      </w:r>
    </w:p>
    <w:p>
      <w:r>
        <w:t>a. En vertu de l’art. 4 al. 4 LPA, lorsqu’une autorité mise en demeure refuse sans droit de statuer ou tarde à se prononcer, son silence est assimilé à une décision.</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 ; 134 I 6 consid. 2.3 ; arrêts du Tribunal fédéral 2C_409/2013 du 27 mai 2013 consid. 5.1 ; 5A_279/2010 du 24 juin 2010 consid. 3.3 ; ATA/1119/2019 du 2 juillet 2019 consid. 4c ; ATA/386/2018 du 24 avril 2018 consid. 2d ; ATA 716/2016 du 23 août 2016 consid. 5b).</w:t>
      </w:r>
    </w:p>
    <w:p>
      <w:r>
        <w:t>- 6/10 - A/4329/2018</w:t>
      </w:r>
    </w:p>
    <w:p>
      <w:r>
        <w:t>b. 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non publié in ATF 129 I 68 ; ATAF 2008/15 consid. 3.2).</w:t>
      </w:r>
    </w:p>
    <w:p>
      <w:r>
        <w:t>Pour pouvoir se plaindre de l’inaction de l’autorité, encore faut-il que l’administré ait effectué toutes les démarches adéquates en vue de l’obtention de la décision qu’il sollicite (ATA/386/2018 du 24 avril 2018 consid. 2d ; ATA/199/2010 du 23 mars 2010 consid. 4).</w:t>
      </w:r>
    </w:p>
    <w:p>
      <w:r>
        <w:t>c. Les conclusions en déni de justice sont irrecevables lorsque le recourant n'a pas procédé à la mise en demeure prévue à l'art. 4 al. 4 LPA (ATA/1210/2018 du</w:t>
      </w:r>
    </w:p>
    <w:p>
      <w:r>
        <w:rPr>
          <w:b/>
        </w:rPr>
        <w:t>E. 13</w:t>
      </w:r>
    </w:p>
    <w:p>
      <w:r>
        <w:t>novembre 2018 consid. 5c et 6). 3)</w:t>
      </w:r>
    </w:p>
    <w:p>
      <w:r>
        <w:t>En l'espèce, rien dans le dossier ne permet de démontrer que la recourante a mis en demeure le centre de statuer sur ses prétentions en dépassement des quatre heures de conseil juridique. Elle ne le prétend d'ailleurs pas, étant précisé que le courriel du 3 septembre 2018 ne saurait équivaloir à une telle mise en demeure.</w:t>
      </w:r>
    </w:p>
    <w:p>
      <w:r>
        <w:t>Dès lors, les conclusions en déni de justice de la recourante sont irrecevables. 4)</w:t>
      </w:r>
    </w:p>
    <w:p>
      <w:r>
        <w:t>Le litige porte au surplus sur la conformité au droit de la décision refusant à la recourante la couverture de ses frais d’avocat pour le recours à la CPR contre l'ordonnance de non-entrée en matière du Ministère public dans la procédure pénale P1______. 5) a. Toute personne qui a subi, du fait d'une infraction, une atteinte directe à son intégrité physique, psychique ou sexuelle - une victime - a droit au soutien prévu par la LAVI - l’aide aux victimes (art. 1 LAVI). Le droit à l'aide aux victimes existe, que l'auteur de l'infraction ait été découvert ou non, ait eu un comportement fautif ou non et ait agi intentionnellement ou par négligence (art. 1 al. 3 LAVI).</w:t>
      </w:r>
    </w:p>
    <w:p>
      <w:r>
        <w:t>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w:t>
      </w:r>
    </w:p>
    <w:p>
      <w:r>
        <w:t>- 7/10 - A/4329/2018 ne puisse pas attendre de lui qu'il effectue des démarches en vue d'obtenir des prestations de tiers (art. 4 al. 2 LAVI).</w:t>
      </w:r>
    </w:p>
    <w:p>
      <w:r>
        <w:t>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w:t>
      </w:r>
    </w:p>
    <w:p>
      <w:r>
        <w:t>b. Les prestations comprennent notamment l’assistance juridique appropriée fournie en Suisse dont la victime a besoin à la suite de l'infraction (art. 14 al. 1 LAVI). La prise en charge des frais d'avocat ne peut être accordée qu'à titre d'aide immédiate ou d'aide à plus long terme (art. 5 de l'ordonnance sur l'aide aux victimes d'infraction du 27 février 2008 - OAVI - RS 312.51).</w:t>
      </w:r>
    </w:p>
    <w:p>
      <w:r>
        <w:t>Les frais d'avocat et de procédure de la victime sont à prendre en charge en premier lieu par le responsable du préjudice causé à la victime de l'infraction (art. 4 al. 1 du règlement d’exécution de la LaLAVI du 13 avril 2011 - RaLAVI - J 4 10.01). Dans la mesure où elle en remplit les conditions, la victime s'adresse à l'assistance juridique pour la prise en charge de ses frais, conformément aux art. 136 à 138 du code de procédure pénale suisse du 5 octobre 2007 (CPP - RS 312.0 ; art. 4 al. 2 RaLAVI).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(art. 4 al. 3 RaLAVI). 6)</w:t>
      </w:r>
    </w:p>
    <w:p>
      <w:r>
        <w:t>En vertu de l'art. 16 LAVI, l'octroi d'une contribution aux frais pour l'aide à plus long terme fournie par un tiers dépend de la situation financière de la victime. Cependant, il faut également examiner au préalable, sous l'angle des art. 13 et</w:t>
      </w:r>
    </w:p>
    <w:p>
      <w:r>
        <w:rPr>
          <w:b/>
        </w:rPr>
        <w:t>E. 14</w:t>
      </w:r>
    </w:p>
    <w:p>
      <w:r>
        <w:t>LAVI, si l'aide ou la mesure est nécessaire, adéquate et proportionnée (arrêt du Tribunal fédéral 1B_114/2010 du 28 juin 2010 consid. 3.1 ; Message du Conseil fédéral concernant la révision totale de la LAVI du 9 novembre 2005, FF 2005 6683, p. 6733 s ; Dominik ZEHTNER, Kommentar zum Opferhilfegesetz, 3ème éd., 2009, n. 1 ad art. 16 LAVI). L’aide doit en outre être appropriée. Ainsi, il n’y aura pas d’assistance juridique pour des actions en justice manifestement vouées à l’échec (Message du Conseil fédéral concernant la révision totale de la LAVI du 9 novembre 2005, FF 2005 6683, p. 6731).</w:t>
      </w:r>
    </w:p>
    <w:p>
      <w:r>
        <w:t>- 8/10 - A/4329/2018</w:t>
      </w:r>
    </w:p>
    <w:p>
      <w:r>
        <w:t>Sous l'empire de l’aLAVI, l'octroi d'un conseil d'office dépendait d'une appréciation de la situation personnelle de la victime (art. 3 al. 1 aLAVI). Selon la jurisprudence, cette situation devait s'analyser de manière globale, notamment au regard de la difficulté des questions de droit et de fait présentées par la cause et ses chances de succès (ATF 123 II 548 consid. 2b ; 122 II 315 consid. 4c/bb ; 121 II 209 consid. 2b ; arrêt du Tribunal fédéral 1B_114/2010 précité consid. 3.1). Ces critères peuvent être repris pour déterminer si l'intervention d'un avocat est nécessaire, adéquate et proportionnée au sens des art. 13 et 14 LAVI (arrêt du Tribunal fédéral 1B_114/2010 précité consid. 3.1). 7) a. En règle générale, les instructions, les circulaires et les directives administratives – ou, en d'autres termes, les ordonnances administratives – n'ont, selon la jurisprudence et la doctrine, pas force de loi (ATF 121 II 473 consid. 2b p. 478 ; ATA/563/2012 du 21 août 2012 consid. 14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w:t>
      </w:r>
    </w:p>
    <w:p>
      <w:r>
        <w:t>b. Le département peut édicter des directives d’application. Ces directives s'inspirent des recommandations de la Conférence suisse des offices de liaison de la LAVI pour l’application de la LAVI du 21 janvier 2010 (ci-après : les recommandations CSOL-LAVI ; art. 3 al. 2 RaLAVI). Le département de la solidarité et de l’emploi, devenu ensuite le département de l’emploi, des affaires sociales et de la santé (ci-après : DEAS), a ainsi adopté les directives cantonales en matière d’aides financières fournies par le centre LAVI le 15 avril 2011 (ci-après : les directives DEAS, qui seront utilisées ici en lieu et place des nouvelles directives de l'actuel département de la cohésion sociale, qui sont entrées en vigueur postérieurement aux faits de la présente cause, soit le 1er juillet 2019).</w:t>
      </w:r>
    </w:p>
    <w:p>
      <w:r>
        <w:t>Selon ces dernières, pour déterminer le caractère nécessaire, adéquat et proportionné de l’aide ou de la mesure, il faut tenir compte du degré de l’atteinte causée à la victime en raison de l’infraction, de la possibilité et la capacité de cette dernière à surmonter les conséquences de l’infraction, de sa santé physique et psychique, de ses connaissances linguistiques et juridiques, de l’efficacité et des</w:t>
      </w:r>
    </w:p>
    <w:p>
      <w:r>
        <w:t>- 9/10 - A/4329/2018 chances de succès d’une prestation d’aide ou des mesures proposées ainsi que de la possibilité de la victime de réduire le dommage, dans les limites du raisonnable (point 5 des directives DEAS, reprenant le point 3.3.3 des recommandations CSOL-LAVI). En relation avec les frais d’avocats, entrent notamment en considération la nécessité de l’intervention de l’avocat, les chances de succès des démarches envisagées et les difficultés des questions de droit ou de fait que présente la cause (point 5 des directives DEAS). L’avocat doit s’en tenir à l’activité strictement nécessaire à la défense des droits de la victime, du fait qu’il ne revient pas au centre LAVI de prendre en charge des frais ne se trouvant pas dans un rapport raisonnable avec les prétentions de la victime (point 5 des directives DEAS). 8)</w:t>
      </w:r>
    </w:p>
    <w:p>
      <w:r>
        <w:t>En l'espèce, l'autorité intimée a considéré que la demande d'aide devait être rejetée en raison des chances de succès minimes du recours, sans se fonder sur d'autres éléments.</w:t>
      </w:r>
    </w:p>
    <w:p>
      <w:r>
        <w:t>La CPR a néanmoins admis le recours de la recourante. Certes, l'on ne saurait se contenter de prendre en compte ce résultat a posteriori pour conclure à l'existence de chances de succès du recours. Néanmoins, au moment de prendre sa décision, l'autorité intimée aurait dû mettre en balance les chances de succès du recours, qui à défaut d'être très élevées n'en étaient pas moins raisonnables, compte tenu de la gravité de l'atteinte subie par la recourante, à savoir une fracture mandibulaire et des douleurs au genou. Le recours était donc l'unique moyen de faire valoir, in fine, l'existence de l'agression et donc sa qualité de victime.</w:t>
      </w:r>
    </w:p>
    <w:p>
      <w:r>
        <w:t>Dans cette mesure, l'autorité intimée aurait dû entrer en matière sur la demande, au besoin en limitant la prise en charge pour tenir compte de la relativement faible complexité de la cause.</w:t>
      </w:r>
    </w:p>
    <w:p>
      <w:r>
        <w:t>Le recours sera donc partiellement admis dans la mesure où il est recevable, et la cause renvoyée à l'association du centre pour nouvelle décision au sens de ce qui précède. 9)</w:t>
      </w:r>
    </w:p>
    <w:p>
      <w:r>
        <w:t>Vu l'issue du litige, il ne sera pas perçu d'émolument (art. 87 al. 1 LPA). La recourante n'y ayant pas conclu, il ne sera pas alloué d'indemnité de procédure (art. 87 al. 2 LPA).</w:t>
      </w:r>
    </w:p>
    <w:p>
      <w:r>
        <w:t>* * * * *</w:t>
      </w:r>
    </w:p>
    <w:p>
      <w:r>
        <w:t>- 10/10 - A/4329/2018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