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ATA/1720/2019 vom 26. November 2019</w:t>
      </w:r>
    </w:p>
    <w:p>
      <w:r>
        <w:t>GE Cour de justice, 2019-11-26, FR</w:t>
      </w:r>
    </w:p>
    <w:p>
      <w:r>
        <w:rPr>
          <w:b/>
        </w:rPr>
        <w:t xml:space="preserve">Quelle: </w:t>
      </w:r>
      <w:r>
        <w:t>https://mcp.opencaselaw.ch/entscheid/ge_gerichte_ATA_1720_2019</w:t>
      </w:r>
    </w:p>
    <w:p>
      <w:r>
        <w:t>FR: GE_GERICHTE ATA/1720/2019 du 26 novembre 2019</w:t>
      </w:r>
    </w:p>
    <w:p>
      <w:r>
        <w:t>IT: GE_GERICHTE ATA/1720/2019 del 26 novembre 2019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juin 2000 (LLCA - RS 935.61), afférent aux règles professionnelles, l’avocat exerce sa profession avec soin et diligence.</w:t>
      </w:r>
    </w:p>
    <w:p>
      <w:r>
        <w:t>d. En vertu de l’art. 12 let. c LLCA, l’avocat évite tout conflit entre les intérêts de son client et ceux des personnes avec lesquelles il est en relation sur le plan professionnel ou privé.</w:t>
      </w:r>
    </w:p>
    <w:p>
      <w:r>
        <w:t>Selon la jurisprudence du Tribunal fédéral modifiée ou précisée en février 2012, l’interdiction de postuler dans un cas concret fondée sur cette disposition légale – à distinguer d’une sanction disciplinaire – ne relève en principe pas du droit disciplinaire, mais du contrôle du pouvoir de postuler de l’avocat (ATF 138 II 162 consid. 2.5.1). 5)</w:t>
      </w:r>
    </w:p>
    <w:p>
      <w:r>
        <w:t>En l’espèce, la cause n’a pas pour objet une décision de la commission du barreau portant sur l’existence ou non d’un conflit d’intérêts d’un avocat à l’égard de son mandant ou de sa partie adverse et sur une interdiction qui lui serait signifiée de représenter son client, soit sur une question ayant une incidence</w:t>
      </w:r>
    </w:p>
    <w:p>
      <w:r>
        <w:t>- 5/6 - A/3983/2019 directe sur la conduite d’un mandat de représentation en cours conduit par l’avocat concerné. La dénonciation vise uniquement à remettre en question l’intervention de M. B______, en sa qualité de bâtonnier de l’ordre des avocats, dans le cadre du dispositif mis sur pied par cette association pour aplanir les litiges pouvant survenir entre ses membres.</w:t>
      </w:r>
    </w:p>
    <w:p>
      <w:r>
        <w:t>Dès lors, les droits ou obligations de la dénonciatrice, au sens de l’art. 7 LPA, ne pourraient en aucun cas être touchés par les décisions rendues par la commission du barreau à la suite de ladite dénonciation.</w:t>
      </w:r>
    </w:p>
    <w:p>
      <w:r>
        <w:t>Il n’y a donc pas lieu d’entrer en matière sur les reproches formulés par la recourante contre M. B______.</w:t>
      </w:r>
    </w:p>
    <w:p>
      <w:r>
        <w:t>Vu ce qui précède, le recours sera déclaré irrecevable pour défaut de la qualité pour recourir, sans autre acte d’instruction (art. 72 LPA). 6)</w:t>
      </w:r>
    </w:p>
    <w:p>
      <w:r>
        <w:t>Malgré l’issue du litige, aucun émolument ne sera mis à la charge de la recourante, laquelle a annoncé avoir déposé une demande d'assistance juridique dont l'issue n'est pas encore connue (art. 87 al. 1 LPA). Il ne sera pas alloué d’indemnité de procédure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