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ATA/171/2013 vom 18. März 2013</w:t>
      </w:r>
    </w:p>
    <w:p>
      <w:r>
        <w:t>GE Cour de justice, 2013-03-18, FR</w:t>
      </w:r>
    </w:p>
    <w:p>
      <w:r>
        <w:rPr>
          <w:b/>
        </w:rPr>
        <w:t xml:space="preserve">Quelle: </w:t>
      </w:r>
      <w:r>
        <w:t>https://mcp.opencaselaw.ch/entscheid/ge_gerichte_ATA_171_2013</w:t>
      </w:r>
    </w:p>
    <w:p>
      <w:r>
        <w:t>FR: GE_GERICHTE ATA/171/2013 du 18 mars 2013</w:t>
      </w:r>
    </w:p>
    <w:p>
      <w:r>
        <w:t>IT: GE_GERICHTE ATA/171/2013 del 18 marzo 2013</w:t>
      </w:r>
    </w:p>
    <w:p>
      <w:pPr>
        <w:pStyle w:val="Heading2"/>
      </w:pPr>
      <w:r>
        <w:t>Erwägungen</w:t>
      </w:r>
    </w:p>
    <w:p>
      <w:r>
        <w:rPr>
          <w:b/>
        </w:rPr>
        <w:t>E. 1</w:t>
      </w:r>
    </w:p>
    <w:p>
      <w:r>
        <w:t>Le recours a été interjeté en temps utile devant la juridiction compétente (art. 132 de la loi sur l'organisation judiciaire du 26 septembre 2010 (LOJ - E 2 05) et 62 al. 1 let. b de la loi sur la procédure administrative du 12 septembre 1985 (LPA - E 5 10). Pour le surplus et s’agissant de la qualité pour recourir de SVLS, ou plus exactement de son intérêt actuel, la question sera laissée ouverte en l’état.</w:t>
      </w:r>
    </w:p>
    <w:p>
      <w:r>
        <w:rPr>
          <w:b/>
        </w:rPr>
        <w:t>E. 2</w:t>
      </w:r>
    </w:p>
    <w:p>
      <w:r>
        <w:t>Le recours n’a pas d’effet suspensif (art. 17 al. 1 de l’accord intercantonal sur les marchés publics du 25 novembre 1994 - AIMP - L 6 05 ; art. 58 al. 1 RMP).</w:t>
      </w:r>
    </w:p>
    <w:p>
      <w:r>
        <w:t>En l'espèce cependant, la décision de révocation d'une adjudication est une décision à contenu négatif, de sorte que seules des mesures provisionnelles pourraient être ordonnées en application de l'art. 21 LPA.</w:t>
      </w:r>
    </w:p>
    <w:p>
      <w:r>
        <w:t>Or, si tel était le cas, ces mesures provisionnelles reviendraient à accorder à la recourante le plein de ses conclusions au fond, ce qui serait contraire à la jurisprudence constante de la chambre de céans (ATA/603/2007 du 23 novembre 2007 ; ATA/538/2007 du 26 octobre 2007 ; ATA/401/2007 du 23 août 2007 ; ATA/516/2005 du 27 juillet 2005 ; ATA/748/2004 du 27 septembre 2004), ainsi qu'à la doctrine (I. HÄNER, « Vorsorgliche Massnahmen im Verwaltungsverfahren und Verwaltungsprozess » in Les mesures provisoires en procédure civile, administrative et pénale, 1997, p. 265).</w:t>
      </w:r>
    </w:p>
    <w:p>
      <w:r>
        <w:t>En statuant sur une demande de mesures provisionnelles ou de restitution de l'effet suspensif au sens de l’art. 66 LPA, le juge doit également apprécier l'issue probable du litige (ATA/372/2008 du 14 juillet 2008).</w:t>
      </w:r>
    </w:p>
    <w:p>
      <w:r>
        <w:rPr>
          <w:b/>
        </w:rPr>
        <w:t>E. 3</w:t>
      </w:r>
    </w:p>
    <w:p>
      <w:r>
        <w:t>Or, en l'espèce, les chances du recours apparaissent bien ténues, l’identité du repreneur étant toujours inconnue, ce qui ne justifie en rien le fait de surseoir à statuer sur effet suspensif, la recourante ne pouvant en tout état être la co-contractante.</w:t>
      </w:r>
    </w:p>
    <w:p>
      <w:r>
        <w:rPr>
          <w:b/>
        </w:rPr>
        <w:t>E. 4</w:t>
      </w:r>
    </w:p>
    <w:p>
      <w:r>
        <w:t>La demande d’effet suspensif, traitée comme demande de mesures provisionnelles, sera rejetée, dans la mesure où elle est recevable.</w:t>
      </w:r>
    </w:p>
    <w:p>
      <w:r>
        <w:t>Le sort des frais sera réservé jusqu’à droit jugé au fond.</w:t>
      </w:r>
    </w:p>
    <w:p>
      <w:r>
        <w:t>La présente décision est prise par la présidente de la chambre administrative, en application de l’art. 7 al. 1 du règlement de la chambre administrative du 21 décembre 2010 ; LA CHAMBRE ADMINISTRATIVE rejette la demande d’effet suspensif, traitée comme une demande de mesures provisionnelles, dans la mesure où elle est recevable ;</w:t>
      </w:r>
    </w:p>
    <w:p>
      <w:r>
        <w:t>- 6/6 - A/686/2013 réserve le sort des frais de la procédure jusqu’à droit jugé au fond ; cela fait : fixe aux Transports publics genevois un délai au 8 avril 2013 pour répondre sur le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Didier De Montmollin, avocat de la recourante, ainsi qu'à Me Bertrand Reich, avocat des Transports publics genevois.</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