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ATA/170/2010 vom 16. Juni 2009</w:t>
      </w:r>
    </w:p>
    <w:p>
      <w:r>
        <w:t>GE Cour de justice, 2009-06-16, FR</w:t>
      </w:r>
    </w:p>
    <w:p>
      <w:r>
        <w:rPr>
          <w:b/>
        </w:rPr>
        <w:t xml:space="preserve">Quelle: </w:t>
      </w:r>
      <w:r>
        <w:t>https://mcp.opencaselaw.ch/entscheid/ge_gerichte_ATA_170_2010</w:t>
      </w:r>
    </w:p>
    <w:p>
      <w:r>
        <w:t>FR: GE_GERICHTE ATA/170/2010 du 16 juin 2009</w:t>
      </w:r>
    </w:p>
    <w:p>
      <w:r>
        <w:t>IT: GE_GERICHTE ATA/170/2010 del 16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</w:t>
      </w:r>
    </w:p>
    <w:p>
      <w:r>
        <w:t>- 6/8 - A/688/2009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; G. MULLER/U. HÄFELIN/F. UHLMANN, Allgemeines Verwaltungsrecht, Zürich 2006, 5ème éd., p. 130ss ; A. AUER/G. MALINVERNI/M. HOTTELIER, Droit constitutionnel suisse, Berne 2006, Vol. 2, 2ème éd., p. 546, n. 1165ss ; P. MOOR, Droit administratif, Berne 1994, Vol. 1, 2ème éd., p. 430, n. 5.3.2.1).</w:t>
      </w:r>
    </w:p>
    <w:p>
      <w:r>
        <w:rPr>
          <w:b/>
        </w:rPr>
        <w:t>E. 3</w:t>
      </w:r>
    </w:p>
    <w:p>
      <w:r>
        <w:t>Le courrier adressé le 16 juin 2009 par le conseil de M. N______ à la présidente de la CCRA ne constituait pas une demande formelle de récusation à l’encontre de M. Pagan. En effet, les allégués extrêmement vagues ne permettaient pas de savoir, aucune disposition légale n’étant citée, si le conseil de M. N______ entendait se prévaloir d’une éventuelle prévention de ce juge à l’encontre de son mandant ou s’il soutenait simplement que ce juge aurait connu de la cause précédemment.</w:t>
      </w:r>
    </w:p>
    <w:p>
      <w:r>
        <w:rPr>
          <w:b/>
        </w:rPr>
        <w:t>E. 4</w:t>
      </w:r>
    </w:p>
    <w:p>
      <w:r>
        <w:t>La CCRA n’a d’ailleurs pas rendu une décision sur récusation, en respectant la procédure prévue par les art. 98 ss LOJ.</w:t>
      </w:r>
    </w:p>
    <w:p>
      <w:r>
        <w:t>Sa présidente - qui n’en avait pas la compétence - a considéré que M. Pagan n’avait pas à se récuser. Elle a affirmé au recourant que sa cause serait tranchée par une autre composition que celle, comportant M. Pagan, qui avait tenu l’audience de comparution personnelle le 16 juin 2009.</w:t>
      </w:r>
    </w:p>
    <w:p>
      <w:r>
        <w:t>- 7/8 - A/688/2009</w:t>
      </w:r>
    </w:p>
    <w:p>
      <w:r>
        <w:rPr>
          <w:b/>
        </w:rPr>
        <w:t>E. 5</w:t>
      </w:r>
    </w:p>
    <w:p>
      <w:r>
        <w:t>Or, le même jour, la CCRA a statué dans cette composition-ci, contrairement aux assurances précitées. Ce mode de faire viole le principe de la bonne foi.</w:t>
      </w:r>
    </w:p>
    <w:p>
      <w:r>
        <w:rPr>
          <w:b/>
        </w:rPr>
        <w:t>E. 6</w:t>
      </w:r>
    </w:p>
    <w:p>
      <w:r>
        <w:t>En conséquence, le recours sera admis, la décision de la CCRA du 16 juin 2009 annulée et la cause renvoyée à cette autorité pour nouvelle décision.</w:t>
      </w:r>
    </w:p>
    <w:p>
      <w:r>
        <w:rPr>
          <w:b/>
        </w:rPr>
        <w:t>E. 7</w:t>
      </w:r>
    </w:p>
    <w:p>
      <w:r>
        <w:t>Vu l’issue du litige, il ne sera pas perçu d’émolument. Une indemnité de procédure de CHF 500.- sera allouée au recourant, à charge de l’Etat de Genève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