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ATA/16/2020 vom 9. Januar 2020</w:t>
      </w:r>
    </w:p>
    <w:p>
      <w:r>
        <w:t>GE Cour de justice, 2020-01-09, FR</w:t>
      </w:r>
    </w:p>
    <w:p>
      <w:r>
        <w:rPr>
          <w:b/>
        </w:rPr>
        <w:t xml:space="preserve">Quelle: </w:t>
      </w:r>
      <w:r>
        <w:t>https://mcp.opencaselaw.ch/entscheid/ge_gerichte_ATA_16_2020</w:t>
      </w:r>
    </w:p>
    <w:p>
      <w:r>
        <w:t>FR: GE_GERICHTE ATA/16/2020 du 9 janvier 2020</w:t>
      </w:r>
    </w:p>
    <w:p>
      <w:r>
        <w:t>IT: GE_GERICHTE ATA/16/2020 del 9 gennaio 2020</w:t>
      </w:r>
    </w:p>
    <w:p>
      <w:pPr>
        <w:pStyle w:val="Heading2"/>
      </w:pPr>
      <w:r>
        <w:t>Erwägungen</w:t>
      </w:r>
    </w:p>
    <w:p>
      <w:r>
        <w:rPr>
          <w:b/>
        </w:rPr>
        <w:t>E. 17</w:t>
      </w:r>
    </w:p>
    <w:p>
      <w:r>
        <w:t>avril 2019, soit avant le terme fixé. Lors du dépôt de ladite demande, toutes les conditions posées par la LVEBA étaient remplies. Il exploitait son établissement depuis plusieurs années, de manière irréprochable. Les faits qui lui étaient reprochés, et pour lesquels il n'avait pas été condamné, ne concernaient pas la gestion de son établissement et n'étaient pas à même de faire douter de son honorabilité. 11) Le 6 janvier 2020, le PCTN s'en est rapporté à justice quant à la demande de mesures provisionnelles.</w:t>
      </w:r>
    </w:p>
    <w:p>
      <w:r>
        <w:t>Accorder celles-ci reviendrait à anticiper la demande de M. A______ au fond, soit la délivrance de l'autorisation. Si l'ordonnance pénale venait à être confirmée, la condition d'honorabilité ne serait pas remplie. Toutefois, il y avait lieu de s'en</w:t>
      </w:r>
    </w:p>
    <w:p>
      <w:r>
        <w:t>- 4/7 - A/4349/2019 rapporter à l'appréciation de la chambre administrative sur l'octroi des mesures sollicitées. 12) Sur ce, la cause a été gardée à juger sur effet suspensif et mesures provisionnelles.</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9 al. 1 du règlement interne de la chambre administrative de la Cour de justice du 26 septembre 2017).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w:t>
      </w:r>
    </w:p>
    <w:p>
      <w:r>
        <w:t>- 5/7 - A/4349/2019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(ATA/1205/2018 précité consid. 7b).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(ATF 119 V 503 consid. 3 ; ATA/87/2013 du 18 février 2013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7)</w:t>
      </w:r>
    </w:p>
    <w:p>
      <w:r>
        <w:t>En l’espèce, la décision du PCTN a formellement trait à la suspension de l'instruction d'une demande de renouvellement d'autorisation ; toutefois, du point de vue matériel, elle équivaut à un refus (temporaire) de renouvellement de ladite autorisation. Il s'agit donc d'une décision négative, mais dans la mesure où le recourant bénéficiait auparavant de l'autorisation de vendre des boissons alcooliques à emporter, et n'a fait que demander le renouvellement de ladite autorisation, elle est sujette à effet suspensif.</w:t>
      </w:r>
    </w:p>
    <w:p>
      <w:r>
        <w:t>- 6/7 - A/4349/2019</w:t>
      </w:r>
    </w:p>
    <w:p>
      <w:r>
        <w:t>Or celui-ci est prévu ex lege par l'art. 66 al. 1 LPA en cas de recours, à moins qu'il n'ait été retiré, ce qui n'est pas le cas en l'espèce puisque la décision contestée n'a pas été déclarée exécutoire nonobstant recours.</w:t>
      </w:r>
    </w:p>
    <w:p>
      <w:r>
        <w:t>Même si tel avait été le cas, l'effet suspensif devrait être restitué. En effet, outre que l'autorité intimée s'en rapporte à justice sur ce point (sous l'angle du prononcé de mesures provisionnelles), au moment du dépôt de sa demande de renouvellement les conditions posées par la LVEBA semblaient à première vue réunies ; le recourant, dont le casier judiciaire est vierge, n'a en outre pas fait l'objet d'une condamnation en force. Quant aux faits reprochés dans l'ordonnance pénale litigieuse, même établis, il n'est pas certain qu'ils entraîneraient un défaut d'honorabilité au sens de l'art. 6 LVEBA, n'ayant notamment pas été commis dans le cadre de l'exploitation de l'établissement « B______ ».</w:t>
      </w:r>
    </w:p>
    <w:p>
      <w:r>
        <w:t>Au vu des circonstances ci-dessus et de la durée possible d'une procédure pénale, qui peut aller bien au-delà de l'année laissée au recourant par l'intimé pour fournir un jugement pénal final, il y a lieu de restituer – en tant que de besoin – l'effet suspensif au présent recours, le recourant pouvant continuer à vendre dans son établissement public des boissons alcooliques, jusqu'à droit jugé dans la présente procédure et sous réserve de motifs éventuels de révocation de ladite autorisation. 8)</w:t>
      </w:r>
    </w:p>
    <w:p>
      <w:r>
        <w:t>Le sort des frais sera réservé jusqu'à droit jugé au fond. LA CHAMBRE ADMINISTRATIVE restitue en tant que de besoin l’effet suspensif au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qu'au service de police du commerce et de lutte contre le travail au noir.</w:t>
      </w:r>
    </w:p>
    <w:p>
      <w:r>
        <w:t>- 7/7 - A/4349/2019</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