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ATA/16/2009 vom 13. Januar 2009</w:t>
      </w:r>
    </w:p>
    <w:p>
      <w:r>
        <w:t>GE Cour de justice, 2009-01-13, FR</w:t>
      </w:r>
    </w:p>
    <w:p>
      <w:r>
        <w:rPr>
          <w:b/>
        </w:rPr>
        <w:t xml:space="preserve">Quelle: </w:t>
      </w:r>
      <w:r>
        <w:t>https://mcp.opencaselaw.ch/entscheid/ge_gerichte_ATA_16_2009</w:t>
      </w:r>
    </w:p>
    <w:p>
      <w:r>
        <w:t>FR: GE_GERICHTE ATA/16/2009 du 13 janvier 2009</w:t>
      </w:r>
    </w:p>
    <w:p>
      <w:r>
        <w:t>IT: GE_GERICHTE ATA/16/2009 del 13 gennaio 2009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Par acte déposé au greffe du Tribunal administratif le 11 décembre 2008, Talent Properties Ltd a recouru contre cette décision incidente en mesures provisionnelles urgentes et retrait de l’effet suspensif (art. 21 et 66 de loi sur la procédure administrative du 12 septembre 1985 - LPA - E 5 10). Elle a repris son argumentation et conclu à l’annulation de ladite décision. Statuant à nouveau, le Tribunal administratif devait lui donner acte de son engagement de poser les barrières de protection puis retirer, avec effet immédiat, l’effet suspensif attaché au recours formé par Bogh-Art S.A. le 17 octobre 2008 auprès de la commission et condamner celle-là en tous les frais, ainsi qu’à une amende pour téméraire plaideur en application de l’article 88 LPA.</w:t>
      </w:r>
    </w:p>
    <w:p>
      <w:r>
        <w:rPr>
          <w:b/>
        </w:rPr>
        <w:t>E. 7</w:t>
      </w:r>
    </w:p>
    <w:p>
      <w:r>
        <w:t>Un émolument de CHF 500.- sera mis à la charge de la recourante. Une indemnité de procédure de CHF 1’000.- sera allouée à Bogh-Art S.A. à charge de la recourante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