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ATA/169/2018 vom 20. Februar 2018</w:t>
      </w:r>
    </w:p>
    <w:p>
      <w:r>
        <w:t>GE Cour de justice, 2018-02-20, FR</w:t>
      </w:r>
    </w:p>
    <w:p>
      <w:r>
        <w:rPr>
          <w:b/>
        </w:rPr>
        <w:t xml:space="preserve">Quelle: </w:t>
      </w:r>
      <w:r>
        <w:t>https://mcp.opencaselaw.ch/entscheid/ge_gerichte_ATA_169_2018</w:t>
      </w:r>
    </w:p>
    <w:p>
      <w:r>
        <w:t>FR: GE_GERICHTE ATA/169/2018 du 20 février 2018</w:t>
      </w:r>
    </w:p>
    <w:p>
      <w:r>
        <w:t>IT: GE_GERICHTE ATA/169/2018 del 20 febbraio 2018</w:t>
      </w:r>
    </w:p>
    <w:p>
      <w:pPr>
        <w:pStyle w:val="Heading2"/>
      </w:pPr>
      <w:r>
        <w:t>Regeste</w:t>
      </w:r>
    </w:p>
    <w:p>
      <w:r>
        <w:t>Résumé: Cessation de l'activité lucrative indépendante du contribuable propriétaire d'un immeuble dont l'affectation est mixte. Application du principe de la prépondérance. Passage de la fortune commerciale à la fortune privée. Rejet du recours.</w:t>
      </w:r>
    </w:p>
    <w:p>
      <w:pPr>
        <w:pStyle w:val="Heading2"/>
      </w:pPr>
      <w:r>
        <w:t>Erwägungen</w:t>
      </w:r>
    </w:p>
    <w:p>
      <w:r>
        <w:rPr>
          <w:b/>
        </w:rPr>
        <w:t>E. 12</w:t>
      </w:r>
    </w:p>
    <w:p>
      <w:r>
        <w:t>novembre 1992).</w:t>
      </w:r>
    </w:p>
    <w:p>
      <w:r>
        <w:t>d. Le moment déterminant pour le passage de la fortune commerciale dans la fortune privée est celui où le contribuable manifeste de manière claire et précise, expressément ou par actes concluants, vis-à-vis des autorités fiscales, sa volonté de transférer l’élément en cause dans sa fortune privée (arrêt du Tribunal fédéral 2C_851/2015 du 3 juin 2016 consid. 4.2 et les références citées).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(ATA/1419/2017 du 17 octobre 2017 et les références citées).</w:t>
      </w:r>
    </w:p>
    <w:p>
      <w:r>
        <w:t>b.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(ATA/1605/2017 du 12 décembre 2017 et les références citées).</w:t>
      </w:r>
    </w:p>
    <w:p>
      <w:r>
        <w:t>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(ATA/1605/2017 précité et les références citées). 6)</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w:t>
      </w:r>
    </w:p>
    <w:p>
      <w:r>
        <w:t>- 13/16 - A/233/2016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 ; 138 I 49 consid. 7.1 ; 137 I 1 consid. 2.4 ; 136 I 316 consid. 2.2.2). La chambre administrative suit le raisonnement du Tribunal fédéral en la matière (ATA/1445/2017 du 31 octobre 2017 et les références citées). 7) a. En l’espèce, l’affectation mixte de l’immeuble n’est plus contestée et seule demeure litigieuse sa prépondérance, commerciale ou privée, suite à la cessation de l’activité de C______ à compter du 1er janvier 2010.</w:t>
      </w:r>
    </w:p>
    <w:p>
      <w:r>
        <w:t>b. Il ressort des explications fournies par le recourant que C______ a produit un rendement de CHF 34'523.- en 2009, de CHF 23'446.- en 2008 et de CHF 25'596.45 en 2007 du fait de la location d’une surface de 300 m2, acquittant ce loyer directement auprès de la régie en couverture des charges de l’immeuble afin d’éviter toute « paperasse » inutile.</w:t>
      </w:r>
    </w:p>
    <w:p>
      <w:r>
        <w:t>Selon les déclarations fiscales du recourant pour les années 2007 à 2009, celui-ci n’a cependant déclaré que les loyers versés par G______, de CHF 8'640.- en 2007 et 2008 et de CHF 7’160.- en 2009 en tant que rendement de l’immeuble, sans mention d’aucun autre revenu provenant de la location de celui-ci ni d’une créance correspondante. Ce n’est qu’en 2010 que le recourant a déclaré, en sus du loyer payé par G______, de CHF 9'000.-, un loyer de CHF 15'000.- provenant de D______.</w:t>
      </w:r>
    </w:p>
    <w:p>
      <w:r>
        <w:t>Durant ces périodes fiscales, le caractère commercial de l’immeuble était ainsi prépondérant, au regard des rendements produits par C______, supérieurs à ceux résultant de la location à G______ et à D______.</w:t>
      </w:r>
    </w:p>
    <w:p>
      <w:r>
        <w:t>c. Le recourant se prévaut toutefois d’autres loyers, payés par D______ et E______, qui auraient été supérieurs au rendement produit par C______.</w:t>
      </w:r>
    </w:p>
    <w:p>
      <w:r>
        <w:t>Si le recourant a effectivement déclaré un montant de CHF 15'000.- à titre de loyer perçu de D______ en 2010 dans sa déclaration fiscale correspondante et a versé au dossier un contrat de bail à loyer conclu avec cette société à compter du 1er janvier 2010 pour la remise des locaux, d’une surface de 125 m2, suite à la reprise des activités de C______, conformément au contrat du 15 décembre 2010, la production de divers documents en lien avec un loyer payé par D______ en 2004, au demeurant seulement devant le TAPI, n’apparaît pas déterminant. Outre le fait que ces documents ne concernent pas la période fiscale en cause, ils ne</w:t>
      </w:r>
    </w:p>
    <w:p>
      <w:r>
        <w:t>- 14/16 - A/233/2016 sauraient démontrer l’existence d’un loyer de CHF 18'000.- acquitté par cette société avant le 1er janvier 2010, ce d’autant que la surface louée n’était alors que de 50 m2. Par ailleurs, ce n’est que durant la procédure de réclamation, dans son courrier du 20 février 2015, que le recourant s’est prévalu de l’existence d’anciens loyers dont D______ ne se serait pas acquittée, en produisant les comptes de cette société, indiquant des « loyers dus » de CHF 63'000.- en 2010 et de CHF 48'000.- en 2009, ce qui paraît à tout le moins insolite et doit être considéré avec circonspection au regard des éléments susmentionnés.</w:t>
      </w:r>
    </w:p>
    <w:p>
      <w:r>
        <w:t>Il en va de même des allégués du recourant en lien avec les loyers versés par E______, l’intéressé n’ayant produit un contrat de bail à loyer prenant effet le 1er janvier 2010 pour la remise d’une surface de 125 m2 au prix de CHF 24'000.- que dans le cadre de la procédure devant la chambre de céans. Au demeurant, ce document, tout comme l’extrait du compte bancaire du recourant au 31 décembre 2011 indiquant le versement d’un montant de CHF 48'000.- en sa faveur par E______ comme « loyer 2010-2011 » ainsi que l’avis de crédit de CHF 24'000.- versé par E______ comme « loyer 2012 », n’est pas probant, dès lors qu’en raison de la cessation des activités de C______ au 31 décembre 2009, les rendements de l’immeuble ne peuvent être pris en compte qu’à cette date, et non en 2010, comme l’a, à juste titre, relevé l’AFC-GE.</w:t>
      </w:r>
    </w:p>
    <w:p>
      <w:r>
        <w:t>Il s’ensuit qu’au 31 décembre 2009, les rendements produits par l’immeuble avaient un caractère commercial prépondérant.</w:t>
      </w:r>
    </w:p>
    <w:p>
      <w:r>
        <w:t>d. À ces éléments s’en ajoutent encore d’autres. Ainsi, la surface utilisée pour l’activité de C______, de 300 m2, était largement supérieure à celles occupées par D______ et E______ au 31 décembre 2009, soit respectivement 50 m2 et 125 m2, la surface inoccupée, de 435 m2, ne pouvant entrer en ligne de compte pour ce calcul. Par ailleurs, comme l’a à juste titre relevé le TAPI, l’immeuble était, dans sa globalité, affecté à une fonction commerciale, ayant été mis à disposition de sociétés détenues majoritairement par le recourant.</w:t>
      </w:r>
    </w:p>
    <w:p>
      <w:r>
        <w:t>e. C’est donc à juste titre que le TAPI, ainsi que l’autorité cantonale intimée, ont considéré que l’immeuble avait une affectation commerciale prépondérante et qu’il était ainsi passé dans la fortune privée du recourant lors de la cessation des activités de C______, comme il l’a, au demeurant, indiqué dans sa déclaration fiscale 2010 dans la rubrique « observations », manifestant par là sa volonté de transférer cet objet dans sa fortune privée.</w:t>
      </w:r>
    </w:p>
    <w:p>
      <w:r>
        <w:t>f. Quant à l’évaluation du bien pour la fortune, elle n’est pas contestée, de sorte qu’elle sera également confirmée tant dans son principe que dans sa quotité. 8)</w:t>
      </w:r>
    </w:p>
    <w:p>
      <w:r>
        <w:t>Il s’ensuit que le recours sera rejeté.</w:t>
      </w:r>
    </w:p>
    <w:p>
      <w:r>
        <w:t>- 15/16 - A/233/2016 9)</w:t>
      </w:r>
    </w:p>
    <w:p>
      <w:r>
        <w:t>Vu l’issue du litige, un émolument de CHF 800.-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