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ATA/169/2015 vom 17. Februar 2015</w:t>
      </w:r>
    </w:p>
    <w:p>
      <w:r>
        <w:t>GE Cour de justice, 2015-02-17, FR</w:t>
      </w:r>
    </w:p>
    <w:p>
      <w:r>
        <w:rPr>
          <w:b/>
        </w:rPr>
        <w:t xml:space="preserve">Quelle: </w:t>
      </w:r>
      <w:r>
        <w:t>https://mcp.opencaselaw.ch/entscheid/ge_gerichte_ATA_169_2015</w:t>
      </w:r>
    </w:p>
    <w:p>
      <w:r>
        <w:t>FR: GE_GERICHTE ATA/169/2015 du 17 février 2015</w:t>
      </w:r>
    </w:p>
    <w:p>
      <w:r>
        <w:t>IT: GE_GERICHTE ATA/169/2015 del 17 febbraio 2015</w:t>
      </w:r>
    </w:p>
    <w:p>
      <w:pPr>
        <w:pStyle w:val="Heading2"/>
      </w:pPr>
      <w:r>
        <w:t>Erwägungen</w:t>
      </w:r>
    </w:p>
    <w:p>
      <w:r>
        <w:rPr>
          <w:b/>
        </w:rPr>
        <w:t>E. 12</w:t>
      </w:r>
    </w:p>
    <w:p>
      <w:r>
        <w:t>septembre 1985 (LPA - E 5 10). 2)</w:t>
      </w:r>
    </w:p>
    <w:p>
      <w:r>
        <w:t>Le recours porte sur le refus d’autorisation de séjour pour cas d’extrême gravité et le renvoi de Suisse de M. B______, de son épouse, Mme A______ et de leurs fils, C______.</w:t>
      </w:r>
    </w:p>
    <w:p>
      <w:r>
        <w:t>- 7/15 - A/2451/2012 3)</w:t>
      </w:r>
    </w:p>
    <w:p>
      <w:r>
        <w:t>Le recours devant la chambre administrative peut être formé pour violation du droit y compris l’excès et l’abus de pouvoir d’appréciation, ainsi que pour constatation inexacte des faits (art. 61 al. 1 LPA). En revanche, celle-ci ne connaît pas de l’opportunité d’une décision prise en matière de police des étrangers, dès lors qu’il ne s’agit pas d’une mesure de contrainte (art. 61 al. 1 LPA ; art. 10 al. 2 de la loi d'application de la loi fédérale sur les étrangers du</w:t>
      </w:r>
    </w:p>
    <w:p>
      <w:r>
        <w:rPr>
          <w:b/>
        </w:rPr>
        <w:t>E. 16</w:t>
      </w:r>
    </w:p>
    <w:p>
      <w:r>
        <w:t>décembre 2005 (LEtr - RS 142.20), il est possible de déroger aux conditions d’admission (art. 18 à 29 LEtr) notamment dans le but de tenir compte des cas individuels d’une extrême gravité ou d’intérêts publics majeurs.</w:t>
      </w:r>
    </w:p>
    <w:p>
      <w:r>
        <w:t>L’art. 31 al. 1 de l’ordonnance relative à l'admission, au séjour et à l'exercice d'une activité lucrative du 24 octobre 2007 (OASA - RS 142.201),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l’État de provenance (let. g).</w:t>
      </w:r>
    </w:p>
    <w:p>
      <w:r>
        <w:t>Il ressort de la formulation de l’art. 30 al. 1 LEtr, qui est rédigé en la forme potestative, que l’étranger n’a aucun droit à l’octroi d’une dérogation aux conditions d’admission pour cas individuel d’une extrême gravité et, partant, à l’octroi d’une autorisation de séjour fondée sur cette disposition (cf. Andréa GOOD/Titus BOSSHARD, Abweichungen von den Zulassungsvoraussetzungen, in : Martina CARONI/Thomas GÄCHTER/Daniela TURNHERR [éd.], Bundesgesetz über die Ausländerinnen un Ausländer [AuG], 2010, p. 226 ss n. 2 et 3 ad art. 30 LEtr).</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l’ancienne ordonnance limitant le nombre des étrangers du 6 octobre 1986 (aOLE - RS 142.20) (cf. Message du Conseil fédéral concernant la loi sur les étrangers du 8 mars 2002, FF 2002 3469, spéc. p. 3543 ad art. 30 du projet [qui correspond à l’art. 30 LEtr] ; ATAF/2009/40 consid. 5 p. 567 ss [sur la portée de l’art. 14 al. 2 let. c de la loi sur l’asile du 26 juin 1998 (LAsi - RS 142.31), spéc.</w:t>
      </w:r>
    </w:p>
    <w:p>
      <w:r>
        <w:t>- 8/15 - A/2451/2012 consid. 5.2.2 p. 569 ss ; arrêt du Tribunal fédéral 8C 724/2009 du 11 juin 2010 consid. 5.3.1 ; Andréa GOOD/Titus BOSSHARD, op. cit., p. 227 ss n. 7 ad art. 30 LEtr).</w:t>
      </w:r>
    </w:p>
    <w:p>
      <w:r>
        <w:t>Il appert également du libellé de l’art. 30 al. 1 let. b LEtr « cas individuel d’une extrême gravité » que cette disposition, à l’instar de l’art. 13 let. f aOLE « cas personnel d’extrême gravité », constitue une disposition dérogatoire présentant un caractère exceptionnel.</w:t>
      </w:r>
    </w:p>
    <w:p>
      <w:r>
        <w:t>Aussi, conformément à la pratique et à la jurisprudence constantes en la matière, développées initialement en relation avec l’art. 13 let. f aOLE, les conditions mises à la reconnaissance d’une situation d’extrême gravité doivent être appréciées de manière restrictive. Il est nécessaire que l’étranger concerné se trouve dans une situation de détresse personnelle. Lors de l’appréciation d’un cas de rigueur, il y a lieu de tenir compte de l’ensemble des circonstances du cas d’espèce. Le fait que l’étranger ait séjourné en Suisse pendant une assez longue période, qu’il s’y soit bien intégré (au plan professionnel et social) et que son comportement n’ait pas fait l’objet de plaintes ne suffit pas à constituer un cas individuel d’extrême gravité ; encore faut-il que la relation de l’intéressé avec la Suisse soit si étroite qu’on ne puisse exiger de lui qu’il aille vivre dans un autre pays, notamment dans son pays d’origine (cf. arrêt du Tribunal administratif fédéral C-636/2010 du 14 décembre 2010) [partiellement publié in : ATAF 2010/55] consid. 5.2 et 5.3 et la jurisprudence et la doctrine citées ; ATAF 2009/40 précité, loc. cit. : Blaise VUILLE/Claude SCHENK : l’art. 14 al. 2 de la loi sur l’asile et la notion d’intégration, in : Cesla AMARELLE [éd.], l’intégration des étrangers à l’épreuve du droit suisse, 2012, p. 114).</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C-636/2010 précité consid. 5.3 ; Blaise VUILLE/ Claude SCHENK, op. cit. p. 114 ss, et la doctrine citée).</w:t>
      </w:r>
    </w:p>
    <w:p>
      <w:r>
        <w:t>Selon la jurisprudence précitée (applicable par analogie in casu), lorsqu’une famille sollicite la reconnaissance d’un cas de rigueur au sens de l’art. 30 al. 1 let. b LEtr, la situation de chacun de ses membres ne doit en principe pas être considérée isolément, mais en relation avec le contexte familial global, car le sort de la famille forme en général un tout. Ainsi, si le problème des enfants</w:t>
      </w:r>
    </w:p>
    <w:p>
      <w:r>
        <w:t>- 9/15 - A/2451/2012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 cf. ATAF 2007/16 consid. 5.3 p. 196, et la jurisprudence et la doctrine citées).</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importante du développement personnel, scolaire et professionnel, entraînant souvent une intégration accrue dans un milieu déterminé (cf. ATF 123 II 125 consid. 4b p. 129 ss ; arrêt du Tribunal fédéral 2C_75/2011 du 6 avril 2011 rendu dans la même affaire, consid. 3.4).</w:t>
      </w:r>
    </w:p>
    <w:p>
      <w:r>
        <w:t>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 RS 0.107), convention entrée en vigueur pour la Suisse le 26 mars 1997 (cf. les arrêts du Tribunal fédéral 2A.679/2006 du 9 février 2007 consid. 3 et 2A.43/2006 du 31 mai 2006 consid. 3.1 ; arrêt du Tribunal administratif fédéral C-3592/2010 du 8 octobre 2012 consid. 6.2). 5)</w:t>
      </w:r>
    </w:p>
    <w:p>
      <w:r>
        <w:t>En l’espèce, le recourant fait valoir les arguments suivants :</w:t>
      </w:r>
    </w:p>
    <w:p>
      <w:r>
        <w:t>- il a acquis en Suisse le métier d’électricien qu’il ne pourrait mettre en pratique au Guatemala où les normes techniques sont différentes ;</w:t>
      </w:r>
    </w:p>
    <w:p>
      <w:r>
        <w:t>- son activité est indispensable à l’association pour le compte de laquelle il travaille ;</w:t>
      </w:r>
    </w:p>
    <w:p>
      <w:r>
        <w:t>- sa famille est parfaitement intégrée à Genève où elle a noué un grand réseau social ;</w:t>
      </w:r>
    </w:p>
    <w:p>
      <w:r>
        <w:t>- 10/15 - A/2451/2012</w:t>
      </w:r>
    </w:p>
    <w:p>
      <w:r>
        <w:t>- il n’a plus d’attache au Guatemala car une grande partie de ses connaissances ont quitté le pays ;</w:t>
      </w:r>
    </w:p>
    <w:p>
      <w:r>
        <w:t>- plusieurs proches ont été assassinés ;</w:t>
      </w:r>
    </w:p>
    <w:p>
      <w:r>
        <w:t>- son fils ne peut s’adapter aux conditions de vie au Guatemala et il serait en outre très difficile de l’inscrire dans une école publique laquelle exige habituellement un certificat de baptême dont il ne disposerait pas en raison de sa confession évangélique. 6)</w:t>
      </w:r>
    </w:p>
    <w:p>
      <w:r>
        <w:t>S’agissant de la difficulté de retrouver un emploi au Guatemala, la cour de céans observe que le recourant a reçu une bonne formation à l’issue de quatre années d’études au Canada. Il est titulaire d’un bachelor en informatique. Selon ses dires, en raison de ses qualifications, il aurait été en mesure d’exercer un métier bien rémunéré en Suisse s’il avait bénéficié d’un permis de séjour avec autorisation pour prise d’emploi. Le recourant n’est donc pas limité à la profession d’électricien. Ses qualifications lui permettent de prétendre à d’autres emplois notamment dans le secteur informatique. Le recourant a d’ailleurs démontré une réelle aptitude à exercer divers emplois au cours de son séjour en Suisse. La chambre administrative n’ignore pas que les perspectives de travail offertes en Suisse sont plus attractives qu’au Guatemala. La délivrance d’un permis humanitaire n’a cependant pas pour but de soustraire le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On ne saurait tenir compte des circonstances générales (économiques, sociales, sanitaires ou scolaires) affectant l’ensemble de la population auxquelles la personne concernée sera naturellement exposée à son retour, sauf si celle-ci allègue d’importantes difficultés concrètes propres à son cas particulier (ATAF 2007/44 p. 582 ss, ATAF 2007/45 p. 597 ss, ATAF 2007/15 p. 201). Au vu de ses qualifications, la chambre administrative considère que le recourant n’est pas dans une situation qui ne lui permettrait pas une réintégration dans son pays d’origine. Il n’a pas non plus démontré que les connaissances acquises en Suisse sont d’une nature telle que seule la poursuite de son séjour lui permettrait de les mettre à profit. Il en va de même de son épouse Mme A______, sa formation en sciences et lettres et son activité dans l’enseignement au Guatemala lui permettant sa réintégration sans difficultés accrues. 7)</w:t>
      </w:r>
    </w:p>
    <w:p>
      <w:r>
        <w:t>S’agissant du caractère indispensable de l’activité du recourant en faveur de l’association qui l’emploie, cet argument est irrecevable au regard des art. 30 al. 1 let. b LEtr, et 31 OASA. Il appartient en effet à l’employeur de démontrer qu’aucun travailleur en Suisse ni aucun ressortissant d’un État avec lequel a été conclu un accord sur la libre circulation des personnes correspondant</w:t>
      </w:r>
    </w:p>
    <w:p>
      <w:r>
        <w:t>- 11/15 - A/2451/2012 au profil requis n’a été trouvé. Ces conditions ne sont manifestement pas réalisées en l’espèce. 8)</w:t>
      </w:r>
    </w:p>
    <w:p>
      <w:r>
        <w:t>Au regard des pièces produites, la chambre administrative, comme le TAPI avant elle, constate que les recourants sont bien intégrés à Genève où ils séjournent depuis dix ans. Mme A______ et M. B______ participent activement à la vie sociale. Cependant, il est de jurisprudence constante que le fait pour un étranger de séjourner en Suisse pendant de longues années y compris d’ailleurs à titre légal, ne permet pas à lui seul d’admettre un cas d’extrême gravité (ATAF 2A-540/2005 du 11 novembre 2005, consid. 3.2.1 ; ATAF 2007/16, consid. 7). Ceci vaut à fortiori dans le cas d’espèce où les recourants ne résident en Suisse qu’au bénéfice d’une tolérance suite à leur retour illégal en Suisse en violation d’une interdiction d’entrée définitive. Ils ne sauraient déduire des droits résultant d’un état de fait créé en violation de la loi. Ils ne sauraient en tout cas tirer parti de la seule durée de leur séjour en Suisse pour bénéficier d’une dérogation aux conditions d’admission. Au surplus, le fait qu’une grande partie de leurs connaissances et leur famille ont quitté le Guatemala n’implique pas qu’on ne saurait exiger de la famille qu’elle se réadapte aux conditions d’existence passées. Au demeurant, les recourants ont maintenu des relations au Guatemala. Jusqu’en 2012 en tout cas, M. B______ était en relation avec des autorités judiciaires de haut niveau au Guatemala dont il a facilité la venue à Genève. 9)</w:t>
      </w:r>
    </w:p>
    <w:p>
      <w:r>
        <w:t>Il convient encore d’examiner la situation de l’enfant C______, né à Genève, le ______ 2008, après le retour illicite de ses parents en Suisse. Âgé de 7 ans, C______ est certes scolarisé depuis quelques années. Cependant, il n’a pas atteint un niveau d’études décisif pour le sort du cas d’espèce. Les enfants de cet âge changent généralement sans difficulté de système scolaire et de culture. Au surplus, les recourants n’ont pas prouvé, à satisfaction de droit, que l’absence d’un certificat de baptême empêcherait son fils de poursuivre sa scolarité au Guatemala. La chambre administrative considère, au vu de l’ensemble des éléments du dossier, que si le processus d’intégration entamé par C______ est certes bon, il n’est pas irréversible au point qu’un retour dans le pays d’origine ne puisse être envisagé. 10) Reste à examiner si le climat de violence prévalant au Guatemala et le fait que plusieurs proches ont péri dans des circonstances violentes permet de retenir la réalisation du cas d’extrême gravité.</w:t>
      </w:r>
    </w:p>
    <w:p>
      <w:r>
        <w:t>La chambre administrative sans minimiser les problèmes de sécurité sévissant au Guatemala et, tout en relevant que plusieurs parents du recourant ou de son épouse ont été victimes de cet état d’insécurité, ne peut que se rallier aux constatations du TAPI. Les recourants n’ont pas allégué ni établi que des menaces concrètes étaient dirigées contre eux.</w:t>
      </w:r>
    </w:p>
    <w:p>
      <w:r>
        <w:t>- 12/15 - A/2451/2012 11) En résumé, les conditions d’application de l’art. 30 al. 1 let. b LEtr et de l’art. 31 OASA ne sont pas réalisées. Les recourants ne peuvent se prévaloir du cas individuel d’une extrême gravité ou d’intérêt public majeur justifiant une dérogation au régime d’admission en Suisse des étrangers. Il s’ensuit que les recourants sont dépourvus d’une quelconque autorisation de séjour et que leur renvoi a été prononcé à juste titre (art. 64 al. 1 LEtr). 12) a. Si l’exécution du renvoi ou de l’expulsion n’est pas possible, n’est pas licite ou ne peut être raisonnablement exigée, l’étranger peut être admis provisoirement (art. 83 al. 1 LEtr). Cette décision est prise par le SEM. Elle peut être proposée par les autorités cantonales (art. 83 al. 6 LEtr).</w:t>
      </w:r>
    </w:p>
    <w:p>
      <w:r>
        <w:t>b. L’exécution n’est pas possible lorsque l’étranger ne peut pas quitter la Suisse pour son État d’origine, son État de provenance ou un État tiers ni être renvoyé dans un de ces États (art. 83 al. 2 LEtr).</w:t>
      </w:r>
    </w:p>
    <w:p>
      <w:r>
        <w:t>c. Elle n’est pas licite lorsque le renvoi de l’étranger dans son État d’origine, dans son État de provenance ou dans un État tiers est contraire aux engagements de la Suisse relevant du droit international (art. 83 al. 3 LEtr).</w:t>
      </w:r>
    </w:p>
    <w:p>
      <w:r>
        <w:t>d. Elle ne peut être raisonnablement exigée si le renvoi ou l’expulsion de l’étranger dans son pays d’origine ou de provenance le met concrètement en danger, par exemple, en cas de guerre, de guerre civile, de violences généralisées ou de nécessités médicales (art. 83 al. 4 LEtr).</w:t>
      </w:r>
    </w:p>
    <w:p>
      <w:r>
        <w:t>En l’espèce, s’agissant du recourant ou de sa famille, c’est sur la question de l’exigibilité que la chambre administrative doit porter son examen. 13) La chambre administrative ne voit pas de motif pour remettre en cause les constatations du TAPI.</w:t>
      </w:r>
    </w:p>
    <w:p>
      <w:r>
        <w:t>Les recourants ne font valoir aucun obstacle administratif qui les empêche de retourner dans leur patrie (art. 83 al. 2 LEtr).</w:t>
      </w:r>
    </w:p>
    <w:p>
      <w:r>
        <w:t>L’exécution du renvoi ne viole aucun engagement suisse découlant du droit international (art. 83 al. 3 LEtr).</w:t>
      </w:r>
    </w:p>
    <w:p>
      <w:r>
        <w:t>Il n’est pas établi et le recourant ne fait d’ailleurs pas valoir que sa famille ou lui-même serait exposé à un risque concret de tortures ou de traitement inhumain ou dégradant en violation de l’art. 3 CEDH. Enfin, les recourants n’appartiennent pas à la catégorie des réfugiés de la violence qui tente d’échapper aux conséquences d’une guerre civile, de tensions, de répressions ou d’autres atteintes graves et généralisées au droit de l’homme. La chambre administrative fait sienne les constatations du TAPI à ce sujet. 14) Faute de motifs d’admission provisoire, le recours sera rejeté.</w:t>
      </w:r>
    </w:p>
    <w:p>
      <w:r>
        <w:t>- 13/15 - A/2451/2012 15) Les recourants plaidant au bénéfice de l’assistance juridique, aucun émolument ne sera mis à leur charge malgré l’issue du litige (art. 87 al. 1 LPA ; art. 13 al. 1 du règlement sur les frais, émoluments et indemnités en procédure administrative du 30 juillet 1986 - RFPA - E 5 10.03). Vu l’issue du litige, il ne leur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