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ATA/168/2019 vom 25. Februar 2019</w:t>
      </w:r>
    </w:p>
    <w:p>
      <w:r>
        <w:t>GE Cour de justice, 2019-02-25, FR</w:t>
      </w:r>
    </w:p>
    <w:p>
      <w:r>
        <w:rPr>
          <w:b/>
        </w:rPr>
        <w:t xml:space="preserve">Quelle: </w:t>
      </w:r>
      <w:r>
        <w:t>https://mcp.opencaselaw.ch/entscheid/ge_gerichte_ATA_168_2019</w:t>
      </w:r>
    </w:p>
    <w:p>
      <w:r>
        <w:t>FR: GE_GERICHTE ATA/168/2019 du 25 février 2019</w:t>
      </w:r>
    </w:p>
    <w:p>
      <w:r>
        <w:t>IT: GE_GERICHTE ATA/168/2019 del 25 febbraio 2019</w:t>
      </w:r>
    </w:p>
    <w:p>
      <w:pPr>
        <w:pStyle w:val="Heading2"/>
      </w:pPr>
      <w:r>
        <w:t>Erwägungen</w:t>
      </w:r>
    </w:p>
    <w:p>
      <w:r>
        <w:rPr>
          <w:b/>
        </w:rPr>
        <w:t>E. 1</w:t>
      </w:r>
    </w:p>
    <w:p>
      <w:r>
        <w:t>Interjeté en temps utile devant la juridiction compétente, le recours est recevable (art. 132 al. 2 de la loi sur l’organisation judiciaire du 26 septembre 2010 - LOJ - E 2 05 ; art. 10 al. 1 de la loi d’application de la loi fédérale sur les étrangers et l’intégration du 16 décembre 2005 (LEI - RS 142.20 ; anciennement dénommée loi fédérale sur les étrangers - LEtr) du 16 juin 1988 - LaLEtr - F 2 10 ; art. 17 et 62 al. 1 let. b de la loi sur la procédure administrative du 12 septembre 1985 - LPA - E 5 10).</w:t>
      </w:r>
    </w:p>
    <w:p>
      <w:r>
        <w:rPr>
          <w:b/>
        </w:rPr>
        <w:t>E. 2</w:t>
      </w:r>
    </w:p>
    <w:p>
      <w:r>
        <w:t>Ayant reçu le recours le 15 février 2019 et statuant ce jour, la chambre de céans respecte le délai légal de dix jours dans lequel elle doit se prononcer (art. 10 al. 2 LaLEtr).</w:t>
      </w:r>
    </w:p>
    <w:p>
      <w:r>
        <w:rPr>
          <w:b/>
        </w:rPr>
        <w:t>E. 3</w:t>
      </w:r>
    </w:p>
    <w:p>
      <w:r>
        <w:t>La chambre administrative est compétente pour apprécier l’opportunité des décisions portées devant elle (art. 10 al. 2 LaLEtr). Elle peut confirmer, réformer ou annuler la décision attaquée ; le cas échéant, elle ordonne la mise en liberté de l’étranger (art. 10 al. 3 LaLEI).</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a. En vertu de l’art. 76 al. 1 let. b LEI, après notification d’une décision de première instance de renvoi ou d’expulsion au sens de la LEI ou une décision de première instance d’expulsion au sens notamment des art. 66a ou 66abis CP,</w:t>
      </w:r>
    </w:p>
    <w:p>
      <w:r>
        <w:t>- 5/8 - A/423/2019 l’autorité compétente peut, afin d’en assurer l’exécution, mettre en détention la personne concernée si elle a été condamnée pour crime.</w:t>
      </w:r>
    </w:p>
    <w:p>
      <w:r>
        <w:t>Par crime au sens de l’art. 75 al. 1 let. h LEI, il faut entendre une infraction passible d’une peine privative de liberté de plus de trois ans (art. 10 al. 2 CP ; ATA/220/2018 du 8 mars 2018 consid. 4a ; ATA/997/2016 du 23 novembre 2016 consid. 4a), ce qui est le cas du vol pour lequel l’art. 139 ch. 1 CP prévoit une sanction d’une peine privative de liberté de cinq ans au plus ou d’une peine pécuniaire.</w:t>
      </w:r>
    </w:p>
    <w:p>
      <w:r>
        <w:t>b. Elle le peut aussi si des éléments concrets font craindre que la personne concernée entende se soustraire au renvoi ou à l'expulsion, en particulier parce qu'elle ne se soumet pas à son obligation de collaborer en vertu de l'art. 90 LEI notamment (art. 76 al. 1 let. b ch. 3 LEI) ou si son comportement permet de conclure qu'elle se refuse à obtempérer aux instructions des autorités (art. 76 al. 1 let. b ch. 4 LEI).</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w:t>
      </w:r>
    </w:p>
    <w:p>
      <w:r>
        <w:t>- 6/8 - A/423/2019</w:t>
      </w:r>
    </w:p>
    <w:p>
      <w:r>
        <w:t>c. En l’espèce, le recourant fait l’objet de deux décisions de renvoi en force et, depuis le 7 février 2019, d’une décision d’interdiction d’entrée en Suisse. Les circonstances de sa réadmission en Suisse dans le cadre d’une procédure Dublin n’apparaissant pas dans le dossier, il y a lieu de considérer en l’état que le recourant n’a pas quitté la Suisse pour un État dans lequel il pouvait légalement séjourner, de sorte que son renvoi de Suisse doit être exécuté.</w:t>
      </w:r>
    </w:p>
    <w:p>
      <w:r>
        <w:t>Le recourant a fait l’objet de plusieurs condamnations pénales notamment pour vol et, par ailleurs, il a disparu durant plusieurs années dans la clandestinité. Persistant à ne pas vouloir retourner volontairement en Algérie, il n’a entrepris aucune démarche pour faciliter l’exécution de son renvoi, tentant de surcroît de compliquer la tâche des autorités suisses compétentes en usant de plusieurs identités. L’argumentation qu’il soulève à cet égard pour suggérer une confusion de personne tombe à faux, dès lors que son identification sous ses différents alias est dûment enregistrée de manière concordante dans les registres des autorités administratives et des autorités pénales, lesquelles contiennent notoirement des relevés d’empreintes digitales, notamment.</w:t>
      </w:r>
    </w:p>
    <w:p>
      <w:r>
        <w:t>Les conditions légales susmentionnées pour ordonner sa mise en détention administrative sont ainsi manifestement remplies.</w:t>
      </w:r>
    </w:p>
    <w:p>
      <w:r>
        <w:rPr>
          <w:b/>
        </w:rPr>
        <w:t>E. 6</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Conformément à l’art. 76 al. 4 LEI, les démarches nécessaires à l’exécution du renvoi ou de l’expulsion doivent être entreprises sans tarder.</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l’obtention des documents nécessaires au départ auprès d’un État qui ne fait pas partie des États Schengen prend du retard (let. b ; al. 2).</w:t>
      </w:r>
    </w:p>
    <w:p>
      <w:r>
        <w:t>- 7/8 - A/423/2019</w:t>
      </w:r>
    </w:p>
    <w:p>
      <w:r>
        <w:t>b. En l’espèce, les autorités compétentes ont entrepris les démarches pour l’organisation d’un vol avant que l’intéressé ait été mis en détention administrative. Elles ont donc agi avec célérité. Il y a par ailleurs un intérêt public prépondérant à l’exécution de la mesure de renvoi compte tenu des motifs fondant la détention administrative. En outre, aucune autre mesure moins incisive n’est apte à garantir la présence de l’intéressé lors de l’exécution du renvoi. Le recourant allègue à tort que l’organisation d’un vol de retour devrait pouvoir intervenir avant fin mai 2019, eu égard aux exigences posées par les autorités algériennes et leur compagnie aérienne nationale en matière d’exécution de renvoi de leurs ressortissants, ce d’autant plus en l’absence de documents d’identité de l’intéressé. Ce dernier est, par ailleurs, à même d’accélérer le processus en se conformant à son obligation de collaborer.</w:t>
      </w:r>
    </w:p>
    <w:p>
      <w:r>
        <w:t>La détention administrative respecte ainsi le principe de la proportionnalité, ce d’autant que le TAPI en a déjà réduit la durée d’un mois.</w:t>
      </w:r>
    </w:p>
    <w:p>
      <w:r>
        <w:rPr>
          <w:b/>
        </w:rPr>
        <w:t>E. 7</w:t>
      </w:r>
    </w:p>
    <w:p>
      <w:r>
        <w:t>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b. En l’espèce, le recourant ne peut se prévaloir d’aucun motif rendant l’exécution du renvoi impossible ou inexigible au sens des dispositions précitées.</w:t>
      </w:r>
    </w:p>
    <w:p>
      <w:r>
        <w:t>Au vu de ce qui précède, le recours sera rejeté.</w:t>
      </w:r>
    </w:p>
    <w:p>
      <w:r>
        <w:rPr>
          <w:b/>
        </w:rPr>
        <w:t>E. 8</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- 8/8 - A/423/2019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