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ATA/168/2018 vom 20. Februar 2018</w:t>
      </w:r>
    </w:p>
    <w:p>
      <w:r>
        <w:t>GE Cour de justice, 2018-02-20, FR</w:t>
      </w:r>
    </w:p>
    <w:p>
      <w:r>
        <w:rPr>
          <w:b/>
        </w:rPr>
        <w:t xml:space="preserve">Quelle: </w:t>
      </w:r>
      <w:r>
        <w:t>https://mcp.opencaselaw.ch/entscheid/ge_gerichte_ATA_168_2018</w:t>
      </w:r>
    </w:p>
    <w:p>
      <w:r>
        <w:t>FR: GE_GERICHTE ATA/168/2018 du 20 février 2018</w:t>
      </w:r>
    </w:p>
    <w:p>
      <w:r>
        <w:t>IT: GE_GERICHTE ATA/168/2018 del 20 febbraio 2018</w:t>
      </w:r>
    </w:p>
    <w:p>
      <w:pPr>
        <w:pStyle w:val="Heading2"/>
      </w:pPr>
      <w:r>
        <w:t>Erwägungen</w:t>
      </w:r>
    </w:p>
    <w:p>
      <w:r>
        <w:rPr>
          <w:b/>
        </w:rPr>
        <w:t>E. 12</w:t>
      </w:r>
    </w:p>
    <w:p>
      <w:r>
        <w:t>septembre 1985 - LPA - E 5 10). 2) a. L’objet du litige est de déterminer si la taxation 2011 de la recourante est ou non confiscatoire, la recourante contestant à cet égard la solution adoptée par le TAPI.</w:t>
      </w:r>
    </w:p>
    <w:p>
      <w:r>
        <w:t>b. Faute d’avoir elle-même recouru contre le jugement du TAPI, l’intimée ne peut en revanche plus remettre en cause l’exclusion de l’IIC du champ des impôts entrant en ligne de compte pour l’application du bouclier fiscal. Ses conclusions à cet égard sont irrecevables, l’appel joint étant inconnu en procédure administrative genevoise.</w:t>
      </w:r>
    </w:p>
    <w:p>
      <w:r>
        <w:t>Pour le surplus, on précisera que la solution adoptée par le TAPI a été admise par la chambre de céans (ATA/1201/2017 du 22 août 2017 consid. 14). 3)</w:t>
      </w:r>
    </w:p>
    <w:p>
      <w:r>
        <w:t>L’art. 26 al. 1 de la Constitution fédérale de la Confédération suisse du 18 avril 1999 (Cst. - RS 101)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w:t>
      </w:r>
    </w:p>
    <w:p>
      <w:r>
        <w:t>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6e éd., 2010, n. 2043 ; Karl VALLENDER, in Bernhard EHRENZELLER et al. [éd.], Die schweizerische Bundesverfassung - Kommentar, vol. I, 2ème éd., 2008, n. 34 ss ad art. 26 Cst. ; Jörg Paul MÜLLER/Markus SCHEFER, Grundrechte in der Schweiz, 4ème éd., 2008, p. 1041).</w:t>
      </w:r>
    </w:p>
    <w:p>
      <w:r>
        <w:t>Ainsi, selon la jurisprudence, une prétention fiscale ne doit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w:t>
      </w:r>
    </w:p>
    <w:p>
      <w:r>
        <w:t>- 5/7 - A/4089/2015 (ATF 122 I 305 consid. 7a ; 128 II 112 consid.10b.bb, et les références citées ; arrêt du Tribunal fédéral 2C_579/2009 du 26 juin 2010).</w:t>
      </w:r>
    </w:p>
    <w:p>
      <w:r>
        <w:t>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w:t>
      </w:r>
    </w:p>
    <w:p>
      <w:r>
        <w:t>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4)</w:t>
      </w:r>
    </w:p>
    <w:p>
      <w:r>
        <w:t>En l’espèce, l’intimée a été mise au bénéfice de l’art. 60 al. 1 de la loi sur l'imposition des personnes physiques du 27 septembre 2009 (LIPP - D 3 08) à teneur duquel « pour les contribuables domiciliés en Suisse, l’impôt sur la fortune et sur le revenu - centimes additionnels cantonaux et communaux compris - ne peuvent excéder 60 % du revenu imposable. Toutefois, pour ce calcul, le rendement net de la fortune est fixé à au moins 1 % de la fortune nette ». S’il y a lieu à déduction, celle-ci est imputée sur les impôts sur la fortune, centimes additionnels cantonaux et communaux compris, le canton et les communes le supportant proportionnellement à leurs droits (art. 60 al. 4 LIPP).</w:t>
      </w:r>
    </w:p>
    <w:p>
      <w:r>
        <w:t>Ce nonobstant, son imposition totale, IIC et IFD compris, dépasse 80 %, de sorte que le TAPI a retenu qu’elle était confiscatoire, au vu des taxations 2012 et 2013 dépassant 70 % du revenu net imposable, seuil qu’il a estimé ne pouvoir être dépassé. 5)</w:t>
      </w:r>
    </w:p>
    <w:p>
      <w:r>
        <w:t>Ce raisonnement ne peut être suivi. Il modifie le niveau du bouclier fiscal défini par le législateur cantonal. Les jurisprudences de la chambre de céans sur lesquelles il se fonde, soit les ATA/771/2011 du 20 décembre 2011 et ATA/818/2012 du 4 décembre 2012, ne trouvent pas application in casu car elles visaient précisément deux situations antérieures à l’entrée en vigueur de l’art. 60 LIPP, alors qu’il n’existait pas de mécanisme de bouclier fiscal. La question de savoir s’il y a de l’espace pour un examen du caractère confiscatoire de la taxation en cas d’application de l’art. 60 LIPP peut demeurer indécise, vu ce qui suit. 6)</w:t>
      </w:r>
    </w:p>
    <w:p>
      <w:r>
        <w:t>Le TAPI a uniquement retenu le pourcentage de la taxation de la recourante pour estimer que l’imposition était confiscatoire. Il n’a pas examiné les</w:t>
      </w:r>
    </w:p>
    <w:p>
      <w:r>
        <w:t>- 6/7 - A/4089/2015 circonstances concrètes du cas d’espèce, dans un contexte où l’intimée, qui avait la charge de la preuve (arrêt du Tribunal fédéral 2C-818/2012 du 21 mars 2013 consid. 6.2), s’était limitée à alléguer le caractère confiscatoire de l’imposition sans aucune démonstration de sa réalité, le seul niveau d’imposition ne suffisant pas à cet égard (ATA/779/2015 du 28 juillet 2015 consid. 5 d ; ATA/781/2015 du 28 juillet 2015 consid. 4c). Or, il ressort du dossier que sur les trois années prises en considération pour apprécier le caractère confiscatoire de la taxation, l’intimée a procédé à d’importants travaux de réfection de son patrimoine immobilier, ce qui correspond à une situation exceptionnelle (ATA/662/2015 du 23 juin 2015 consid. 4d), tandis que sa fortune mobilière et immobilière croissait. Elle a en outre procédé volontairement à des versements à une fondation avec laquelle elle- même et ses parents ont des liens entraînant une diminution de ses revenus. Dans ces circonstances, force est de constater que l’intimée n’a pas démontré que la taxation litigieuse porte atteinte au noyau même de la garantie de la propriété. 7)</w:t>
      </w:r>
    </w:p>
    <w:p>
      <w:r>
        <w:t>Au vu de ce qui précède, le recours sera admis. Le jugement querellée sera annulé en tant qu’il retient que la taxation 2011 de l’intimée est confiscatoire et retourne le dossier à l’AFC-GE pour nouvelle taxation. Il sera confirmé pour le surplus, le bordereau ICC 2011 le sera également. 8)</w:t>
      </w:r>
    </w:p>
    <w:p>
      <w:r>
        <w:t>Vu l’issue du litige, un émolument de CHF 1'000.- sera mis à la charge de l’intimée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