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ATA/1678/2019 vom 19. November 2019</w:t>
      </w:r>
    </w:p>
    <w:p>
      <w:r>
        <w:t>GE Cour de justice, 2019-11-19, FR</w:t>
      </w:r>
    </w:p>
    <w:p>
      <w:r>
        <w:rPr>
          <w:b/>
        </w:rPr>
        <w:t xml:space="preserve">Quelle: </w:t>
      </w:r>
      <w:r>
        <w:t>https://mcp.opencaselaw.ch/entscheid/ge_gerichte_ATA_1678_2019</w:t>
      </w:r>
    </w:p>
    <w:p>
      <w:r>
        <w:t>FR: GE_GERICHTE ATA/1678/2019 du 19 novembre 2019</w:t>
      </w:r>
    </w:p>
    <w:p>
      <w:r>
        <w:t>IT: GE_GERICHTE ATA/1678/2019 del 19 novembre 2019</w:t>
      </w:r>
    </w:p>
    <w:p>
      <w:pPr>
        <w:pStyle w:val="Heading2"/>
      </w:pPr>
      <w:r>
        <w:t>Regeste</w:t>
      </w:r>
    </w:p>
    <w:p>
      <w:r>
        <w:t>Résumé: Rejet d’un recours contre le refus d’autoriser des travaux de transformation dans des locaux situés dans un bâtiment affecté à l’habitation. Il est établi que les locaux sont affectés, sans autorisation, depuis plus de trente ans à une activité de cabinet médical. Les travaux portaient notamment sur l'abattement de cloisons pour réunir trois pièces en un seul cabinet de psychothérapie ainsi que sur l'isolation phonique par doublage de deux parois, dont une nouvellement créée. Conformément à la jurisprudence, les locaux gardent leur affectation en tant que logement et la LDTR continue de leur être applicable même si l'affectation commerciale peut subsister compte tenu de la prescription trentenaire. Les travaux ne constituent pas des travaux courants d'entretien puisqu'ils impliquent une modification de la distribution du logement et doivent être qualifiés de transformations au sens de la LDTR. Quant aux craintes du recourant de voir son bien se dévaluer en raison du refus d'autorisation, elles sont infondées dans la mesure où des travaux courants d'entretien peuvent être réalisés sans autorisation et que le bien peut être loué avec son affectation actuelle.</w:t>
      </w:r>
    </w:p>
    <w:p>
      <w:pPr>
        <w:pStyle w:val="Heading2"/>
      </w:pPr>
      <w:r>
        <w:t>Erwägungen</w:t>
      </w:r>
    </w:p>
    <w:p>
      <w:r>
        <w:rPr>
          <w:b/>
        </w:rPr>
        <w:t>E. 12</w:t>
      </w:r>
    </w:p>
    <w:p>
      <w:r>
        <w:t>septembre 1985 - LPA - E 5 10). 2)</w:t>
      </w:r>
    </w:p>
    <w:p>
      <w:r>
        <w:t>Le recours porte sur la conformité au droit de la confirmation par le TAPI du refus du département d’autoriser des travaux dans les locaux du recourant, en application de la LDTR. 3) a. 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w:t>
      </w:r>
    </w:p>
    <w:p>
      <w:r>
        <w:t>Plus spécifiquement, la LDTR vise à éviter la disparition de logements à usage locatif (arrêt du Tribunal fédéral 1P.406/2005 du 9 janvier 2006 consid. 3.3 ; ATA/675/2017 du 20 juin 2017).</w:t>
      </w:r>
    </w:p>
    <w:p>
      <w:r>
        <w:t>Est soumis à la LDTR tout bâtiment situé dans l’une des zones de construction prévues par l’art. 19 de la loi d’application de la LAT du 4 juin 1987 (LaLAT - L 1 30), ou construit au bénéfice des normes de l’une des quatre premières zones de construction en vertu des dispositions applicables aux zones de développement (let. a), et comportant des locaux qui, par leur aménagement et leur distribution, sont affectés à l’habitation (let. b ; art. 2 al. 1 LDTR).</w:t>
      </w:r>
    </w:p>
    <w:p>
      <w:r>
        <w:t>b. Par transformation, on entend tous les travaux qui ont pour objet de modifier l’architecture, le volume, l’implantation, la destination, la distribution</w:t>
      </w:r>
    </w:p>
    <w:p>
      <w:r>
        <w:t>- 7/11 - A/3946/2017 intérieure de tout ou partie d’une maison d’habitation (let. a), la création de nouveaux logements, notamment dans les combles (let. b), la création d’installations nouvelles d’une certaine importance, telles que chauffage, distribution d’eau chaude, ascenseur, salles de bains et cuisines (let. c) et la rénovation, c’est-à-dire la remise en état, même partielle, de tout ou partie d’une maison d’habitation, en améliorant le confort existant sans modifier la distribution des logements, sous réserve des travaux d’entretien (let. d ; art. 3 al. 1 LDTR).</w:t>
      </w:r>
    </w:p>
    <w:p>
      <w:r>
        <w:t>Une autorisation est nécessaire pour toute transformation ou rénovation. L’autorisation est notamment accordée lorsque l’état du bâtiment comporte un danger pour la sécurité et la santé de ses habitants ou des tiers (let. a), lorsque la réalisation d’opérations d’aménagement ou d’assainissement d’intérêt public le commande (let. b), lorsque les travaux permettent la réalisation de logements supplémentaires (let. c), lorsque les travaux répondent à une nécessité ou qu’ils contribuent au maintien ou au développement du commerce et de l’artisanat, si celui-ci est souhaitable et compatible avec les conditions de vie du quartier (let. d) et pour les travaux de rénovation (let. e ; art. 9 al. 1 LDTR).</w:t>
      </w:r>
    </w:p>
    <w:p>
      <w:r>
        <w:t>Le département accorde l’autorisation si les logements transformés répondent, quant à leur genre, leur loyer ou leur prix, aux besoins prépondérants de la population. Il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et des exigences liées à l’objectif de préservation du patrimoine (let. e ; art. 9 al. 2 LDTR). Par besoins prépondérants de la population, il faut entendre les loyers accessibles à la majorité de la population (art. 9 al. 3 1ère phr. LDTR).</w:t>
      </w:r>
    </w:p>
    <w:p>
      <w:r>
        <w:t>c. 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(let. a), le remplacement de résidences meublées ou d’hôtels par des locaux commerciaux, lorsque ces résidences ou ces hôtels répondent aux besoins prépondérants de la population (let. b), l’aliénation d’appartements loués, en application de l’art. 39 LDTR (let. c ; art. 3 al. 3 LDTR). Il n’y a pas de changement d’affectation au sens de la LDTR lorsque des locaux à usage commercial, administratif, artisanal ou industriel sont affectés à l’habitation. Il n’y a pas non plus de changement d’affectation au sens de la LDTR lorsque ces locaux retrouvent leur destination commerciale, administrative, artisanale ou industrielle antérieure.</w:t>
      </w:r>
    </w:p>
    <w:p>
      <w:r>
        <w:t>- 8/11 - A/3946/2017</w:t>
      </w:r>
    </w:p>
    <w:p>
      <w:r>
        <w:t>En l’espèce, il est établi que les locaux litigieux sont affectés depuis plus de trente ans à une activité de cabinet médical. 4)</w:t>
      </w:r>
    </w:p>
    <w:p>
      <w:r>
        <w:t>Les parties divergent toutefois quant à l’existence d’un changement d’affectation initial. Il est établi que des activités commerciales ou mixte ont existé en 1929, 1930, 1935 et 1936 dans le bâtiment concerné, sans indications quant aux locaux concernés. Il est également établi, à l’aide des pièces produites par le recourant lui-même, qu’en 1955, aucun cabinet médical n’existait dans le bâtiment et qu’une affectation commerciale ou mixte des locaux concernés n’est ensuite prouvée que depuis 1978.</w:t>
      </w:r>
    </w:p>
    <w:p>
      <w:r>
        <w:t>En 1962 est entrée en vigueur la loi restreignant les démolitions et transformations de maisons d’habitation en raison de la pénurie de logements, du</w:t>
      </w:r>
    </w:p>
    <w:p>
      <w:r>
        <w:rPr>
          <w:b/>
        </w:rPr>
        <w:t>E. 17</w:t>
      </w:r>
    </w:p>
    <w:p>
      <w:r>
        <w:t>octobre 1962 (ci-après : aLDTR) qui prévoyait que le changement de destination non mineur d’un logement était soumis à autorisation. Aussi longtemps que sévissait la pénurie de logements, nul ne pouvait démolir ou faire démolir, en tout ou en partie, ni modifier ou faire modifier sensiblement la destination d’une maison d’habitation occupée ou inoccupée (art. 1 aLDTR ; MGC 1962 III 20297, p. 2330). L’aLCI prévoyait que sur tout le territoire du canton, nul ne pouvait, sans y avoir été autorisé, modifier même partiellement la destination d’une construction ou d’une installation (MGC 1961 II 1305, p. 1323). La jurisprudence a toujours considéré que le but de ces législations et leur esprit était resté identique (ATA/675/2017 précité ; ATA/216/2003 du 15 avril 2003). Or, il est établi qu’à cette époque, l’affectation des locaux litigieux n’était pas celle de cabinet médical et aucune autorisation de changement d’affectation n’a pu être produite qui attesterait de la légalité de l’affectation existante depuis 1978.</w:t>
      </w:r>
    </w:p>
    <w:p>
      <w:r>
        <w:t>En conséquence, il faut retenir que l’affectation commerciale des locaux pour des activités de cabinet médical si elle existe bien depuis plus de trente ans n’a pas été autorisée pour autant alors qu’elle aurait dû l’être, comme l’a retenu à juste titre le TAPI. 5)</w:t>
      </w:r>
    </w:p>
    <w:p>
      <w:r>
        <w:t>Le recourant fait grief au TAPI d’avoir mal appliqué les règles relatives à la prescription trentenaire, le changement d’affectation, même s’il n’avait pas été autorisé, devait être considéré comme devenu définitif.</w:t>
      </w:r>
    </w:p>
    <w:p>
      <w:r>
        <w:t>a. Selon la jurisprudence, le rétablissement d’une situation conforme au droit ne peut pas être ordonné si un délai de plus de trente ans s’est écoulé depuis l’exécution des travaux litigieux (ATF 107 Ia 121 = JdT 1983 I 299 consid. 1 ; ATA/829/2016 du 4 octobre 2016 et les références citées).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w:t>
      </w:r>
    </w:p>
    <w:p>
      <w:r>
        <w:t>- 9/11 - A/3946/2017 rétablissement d’une situation conforme au droit s’impose pour des motifs de police au sens étroit (ATF 107 Ia 121 = JdT 1983 I 299 consid. 1).</w:t>
      </w:r>
    </w:p>
    <w:p>
      <w:r>
        <w:t>La prescription trentenaire s’applique également aux cas de changement d’affectation, la sécurité du droit devant être garantie également en la matière (ATA/607/2007 du 27 novembre 2007 ; ATA/487/2007 du 2 octobre 2007).</w:t>
      </w:r>
    </w:p>
    <w:p>
      <w:r>
        <w:t>b. L’affectation à un usage commercial d’un bâtiment ne saurait avoir pour conséquence de le soustraire à la LDTR et ne lie pas le département dans la mesure où elle ne résulte pas d’une autorisation délivrée par celui-ci (arrêt du Tribunal fédéral 1P.745/2006 du 26 janvier 2007 consid. 3).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 ATA/675/2017 précité).</w:t>
      </w:r>
    </w:p>
    <w:p>
      <w:r>
        <w:t>Rien ne permet de s’écarter de la jurisprudence claire en la matière et l’effet guérisseur du temps n’a pas les conséquences que lui attribue le recourant. En effet, la situation ayant donné lieu à l’ATA/216/2003 précité que le recourant invoque, est sensiblement différente. La différence principale réside dans le fait que le département avait admis l’affectation commerciale dans des décisions délivrées précédemment, alors qu’en l’espèce, cette affectation a été constatée lors de l’instruction de la requête litigieuse.</w:t>
      </w:r>
    </w:p>
    <w:p>
      <w:r>
        <w:t>En conséquence, conformément à ce qui a été retenu par le TAPI dans son jugement, les locaux gardent leur affectation en tant que logement et la LDTR continue de leur être applicable même si l’affectation commerciale peut subsister compte tenu de la prescription trentenaire. 6)</w:t>
      </w:r>
    </w:p>
    <w:p>
      <w:r>
        <w:t>Reste à examiner si les travaux prévus dans les locaux litigieux, à savoir un logement affecté illégalement à une activité de cabinet médical depuis plus de trente ans, constituent des transformations au sens de la LDTR. Le recourant estime que le refus entraîne une dégradation de l’état de l’immeuble, voire à terme l’impossibilité de le louer ou de l’occuper.</w:t>
      </w:r>
    </w:p>
    <w:p>
      <w:r>
        <w:t>La LDTR définit comme transformation, par opposition aux travaux d’entretien non assujettis, notamment tous les travaux qui ont pour objet de modifier l’architecture, le volume, l’implantation, la destination, la distribution intérieure de tout ou partie d’une maison d’habitation (art. 3 al. 1 let. a LDTR). Par travaux d’entretien, la LDTR entend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(art. 3 al. 2 LDTR).</w:t>
      </w:r>
    </w:p>
    <w:p>
      <w:r>
        <w:t>- 10/11 - A/3946/2017</w:t>
      </w:r>
    </w:p>
    <w:p>
      <w:r>
        <w:t>En l’espèce, les travaux prévus consistent notamment à enlever des cloisons séparant une pièce de deux petites pièces annexes de façon à l’agrandir. Ces travaux ne constituent donc pas des travaux courants d’entretien puisqu’ils impliquent une modification de la distribution du logement.</w:t>
      </w:r>
    </w:p>
    <w:p>
      <w:r>
        <w:t>En conséquence, c’est à juste titre que ces travaux ont été qualifiés de travaux de transformation par le TAPI et le grief du recourant doit être écarté.</w:t>
      </w:r>
    </w:p>
    <w:p>
      <w:r>
        <w:t>Quant aux craintes du recourant de voir son bien se dévaluer en raison du refus d’autorisation, elles sont infondées dans la mesure où des travaux courants d’entretien peuvent être réalisés sans autorisation et que le bien peut être loué avec son affectation actuelle comme vu ci-dessus.</w:t>
      </w:r>
    </w:p>
    <w:p>
      <w:r>
        <w:t>En tous points infondés, le recours sera rejeté. 7)</w:t>
      </w:r>
    </w:p>
    <w:p>
      <w:r>
        <w:t>Vu l’issue du litige, un émolument de CHF 2’000.-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