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ATA/1665/2017 vom 27. Dezember 2017</w:t>
      </w:r>
    </w:p>
    <w:p>
      <w:r>
        <w:t>GE Cour de justice, 2017-12-27, FR</w:t>
      </w:r>
    </w:p>
    <w:p>
      <w:r>
        <w:rPr>
          <w:b/>
        </w:rPr>
        <w:t xml:space="preserve">Quelle: </w:t>
      </w:r>
      <w:r>
        <w:t>https://mcp.opencaselaw.ch/entscheid/ge_gerichte_ATA_1665_2017</w:t>
      </w:r>
    </w:p>
    <w:p>
      <w:r>
        <w:t>FR: GE_GERICHTE ATA/1665/2017 du 27 décembre 2017</w:t>
      </w:r>
    </w:p>
    <w:p>
      <w:r>
        <w:t>IT: GE_GERICHTE ATA/1665/2017 del 27 dicembre 2017</w:t>
      </w:r>
    </w:p>
    <w:p>
      <w:pPr>
        <w:pStyle w:val="Heading2"/>
      </w:pPr>
      <w:r>
        <w:t>Erwägungen</w:t>
      </w:r>
    </w:p>
    <w:p>
      <w:r>
        <w:rPr>
          <w:b/>
        </w:rPr>
        <w:t>E. 12</w:t>
      </w:r>
    </w:p>
    <w:p>
      <w:r>
        <w:t>septembre 1985 - LPA - E 5 10). 2)</w:t>
      </w:r>
    </w:p>
    <w:p>
      <w:r>
        <w:t>Selon l’art. 10 al. 2 1ère phr. LaLEtr, la chambre administrative doit statuer dans les dix jours qui suivent sa saisine. Ayant reçu le recours le 19 décembre 2017 et statuant ce jour, elle respecte ce délai.</w:t>
      </w:r>
    </w:p>
    <w:p>
      <w:r>
        <w:t>En outre, à teneur dudit art. 10 LaLEtr, elle est compétente pour apprécier l'opportunité des décisions portées devant elle en cette matière (al. 2 2ème phr.) ; elle peut confirmer, réformer ou annuler la décision attaquée ; le cas échéant, elle ordonne la mise en liberté de l’étranger (al. 3 1ère phr.). 3) a. Le droit d’être entendu, garanti par l’art. 29 al. 2 de la Constitution fédérale de la Confédération suisse du 18 avril 1999 (Cst. - RS 101), implique notamment l’obligation pour l’autorité de motiver ses décisions, afin que le justiciable puisse les comprendre et exercer ses droits de recours à bon escient (ATF 138 I 232 consid. 5.1 ; 133 III 439 consid. 3.3 et les arrêts cités).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138 I 232 consid. 5.1 ; 138 IV 81 consid. 2.2 ; 136 I 229 consid. 5.2).</w:t>
      </w:r>
    </w:p>
    <w:p>
      <w:r>
        <w:t>- 6/9 - A/4795/2017</w:t>
      </w:r>
    </w:p>
    <w:p>
      <w:r>
        <w:t>b. En l’occurrence, la violation du droit d'être entendu invoquée par le recourant se confond avec ses griefs au fond, en particulier avec celui relatif à l'inexigibilité de l'exécution du renvoi en raison de son appartenance aux LTTE. 4)</w:t>
      </w:r>
    </w:p>
    <w:p>
      <w:r>
        <w:t>La détention administrative porte une atteinte grave à la liberté personnelle et ne peut être ordonnée que dans le respect de l'art. 5 § 1 let. f de la Convention de sauvegarde des droits de l’homme et des libertés fondamentales du 4 novembre 1950 (CEDH - RS 0.101) et de l'art. 31 Cst., ce qui suppose en premier lieu qu'elle repose sur une base légale. Le respect de la légalité implique ainsi que la mise en détention administrative ne soit prononcée que si les motifs prévus dans la loi sont concrètement réalisés (ATF 140 II 1 consid. 5.1). 5)</w:t>
      </w:r>
    </w:p>
    <w:p>
      <w:r>
        <w:t>Aux termes de l’art. 77 al. 1 LEtr afférent à la détention en vue du renvoi ou de l’expulsion en cas de non-collaboration à l’obtention des documents de voyage, l’autorité cantonale compétente peut ordonner la détention d’un étranger afin d’assurer l’exécution de son renvoi ou de son expulsion aux conditions suivantes : a. une décision exécutoire a été prononcée ; b. il n’a pas quitté la Suisse dans le délai imparti ; c. l’autorité a dû se procurer elle-même les documents de voyage (al. 1) ; la durée de la détention ne peut excéder soixante jours (al. 2) ; les démarches nécessaires à l’exécution du renvoi ou de l’expulsion doivent être entreprises sans tarder (al. 3). 6)</w:t>
      </w:r>
    </w:p>
    <w:p>
      <w:r>
        <w:t>Le recourant ne conteste pas que les trois conditions fondant l’application de l’art. 77 al. 1 LEtr dans son principe sont réalisées.</w:t>
      </w:r>
    </w:p>
    <w:p>
      <w:r>
        <w:t>Ceci à juste titre. En effet, à la suite du rejet par le TAF de son recours contre la décision du SEM du 29 mai 2013, cette dernière est entrée en force ; les deux décisions sur réexamen prononcées les 7 novembre 2016 et 22 février 2017 ont respectivement fait l'objet d'un recours au TAF déclaré irrecevable, et non contestée. L’intéressé n'a pas quitté la Suisse, alors qu’il y était tenu depuis le 30 août 2013, date du prononcé de l’arrêt du TAF rejetant son recours contre la décision initiale du TAF. Il n'a pas présenté des documents permettant son retour dans son pays, le SEM ayant dû se procurer un laissez-passer auprès des autorités sri lankaises. 7) 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- 7/9 - A/4795/2017</w:t>
      </w:r>
    </w:p>
    <w:p>
      <w:r>
        <w:t>b. Le recourant conteste présenter un risque de fuite, et prétend qu'une mesure d'assignation à domicile serait suffisante. Cet argument doit être écarté. En effet, non seulement, il n'a absolument pas collaboré à son départ de Suisse depuis 2013, mais il a toujours dit refuser de rentrer au Sri Lanka. Il était de plus introuvable lors de la tentative de renvoi du 30 mai 2017 – les policiers ont certes pu le joindre au téléphone, mais il ne s'est pas présenté à eux pour autant –, et s'est opposé physiquement à son renvoi le 6 décembre 2017.</w:t>
      </w:r>
    </w:p>
    <w:p>
      <w:r>
        <w:t>c. Au regard de l’ensemble de ces circonstances, aucune mesure moins incisive que la détention administrative ne permettrait d’assurer l’exécution du renvoi du recourant, et une durée de soixante jours n’apparaît pas excessive compte tenu des délais nécessaires à la mise en œuvre d’un vol avec escorte policière, voire d'un vol spécial.</w:t>
      </w:r>
    </w:p>
    <w:p>
      <w:r>
        <w:t>La mise en détention administrative contestée est dès lors conforme au principe de la proportionnalité. 8)</w:t>
      </w:r>
    </w:p>
    <w:p>
      <w:r>
        <w:t>Il n’est, à juste titre, pas contesté que les autorités suisses ont agi avec diligence et célérité. 9) a. 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TAF E-6668/2012 du 22 août 2013 consid. 6.7.1 relativement à l’art. 83 al. 2 LEtr, a fortiori).</w:t>
      </w:r>
    </w:p>
    <w:p>
      <w:r>
        <w:t>b. La prétendue mise en danger de la vie du recourant en cas de retour au Sri Lanka ne peut en l'espèce être retenue. En effet, la chambre administrative n’intervient que comme autorité de recours dans le cadre d’un contrôle de la légalité des mesures de mise en détention administrative en application des art. 75 ss LEtr ; elle n’a en principe pas de compétence dans ce cadre pour revoir les décisions du SEM en matière d’asile ou de renvoi sur la base desquels la mise en détention a été ordonnée (ATA/187/2017 du 15 février 2017 consid. 4b ; ATA/997/2016 du 23 novembre 2016 consid. 7b ; ATA/920/2015 du 9 septembre 2015), ce d’autant moins en l’occurrence que la situation du recourant a été examinée par le TAF, et encore très récemment, sur réexamen, par le SEM. La chambre de céans ne saurait dès lors se livrer à un examen de la situation actuelle au Sri Lanka, d'autant que le TAF – qui dispose de moyens d'analyse beaucoup plus poussés que la chambre de céans – considère que cette situation ne fait pas apparaître les renvois dans ce pays comme non admissibles de manière générale (arrêts du TAF D-6394/2017 du 27 novembre 2017 consid. 8 ; E-4655/2015 du 6 octobre 2017 consid. 9.2).</w:t>
      </w:r>
    </w:p>
    <w:p>
      <w:r>
        <w:t>- 8/9 - A/4795/2017</w:t>
      </w:r>
    </w:p>
    <w:p>
      <w:r>
        <w:t>c. Quant à la violation alléguée des art. 8 CEDH et 13 Cst., soit du droit au respect de sa vie familiale, le recourant n'a produit qu'une demande du service de l'état civil de la Ville de Genève du 30 mai 2017 lui demandant d'établir la légalité de son séjour en Suisse. En l'absence de mariage, il ne peut être considéré comme titulaire d'une vie familiale avec Mme C______. Quant à l'éventuelle violation de son droit au mariage, c'est dans le cadre de la procédure de mariage qu'il devait le cas échéant être invoqué, notamment à l'encontre d'une éventuelle décision de refus de poursuite de la procédure préparatoire ; or on ignore tout du sort réservé à ladite procédure par la Ville de Genève.</w:t>
      </w:r>
    </w:p>
    <w:p>
      <w:r>
        <w:t>d. Enfin, en invoquant une inégalité de traitement avec d'autres ressortissants sri lankais, et en particulier son frère, le recourant cherche à revenir sur les différentes décisions de fond ayant accordé un statut légal à son frère ou à d'autres compatriotes et lui ayant dénié le statut de réfugié ou le droit à l'admission provisoire. Là encore, la procédure de contrôle de la détention administrative par-devant la chambre de céans ne saurait être utilisée à ces fins, et force est de constater que le recourant fait l'objet d'une décision de renvoi qui a été à plusieurs reprises examinée et confirmée par les instances fédérales de droit des étrangers et de droit d'asile. 10) Vu ce qui précède, le jugement querellé est conforme au droit, et le recours sera rejeté. 11) Vu la nature du litige, il ne sera pas perçu d’émolument (art. 12 al. 1 du règlement sur les frais, émoluments et indemnités en procédure administrative du 30 juillet 1986 - RFPA - E 5 10.03). Vu l’issue du litige, aucune indemnité de procédure ne sera allouée au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