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ATA/164/2020 vom 11. Februar 2020</w:t>
      </w:r>
    </w:p>
    <w:p>
      <w:r>
        <w:t>GE Cour de justice, 2020-02-11, FR</w:t>
      </w:r>
    </w:p>
    <w:p>
      <w:r>
        <w:rPr>
          <w:b/>
        </w:rPr>
        <w:t xml:space="preserve">Quelle: </w:t>
      </w:r>
      <w:r>
        <w:t>https://mcp.opencaselaw.ch/entscheid/ge_gerichte_ATA_164_2020</w:t>
      </w:r>
    </w:p>
    <w:p>
      <w:r>
        <w:t>FR: GE_GERICHTE ATA/164/2020 du 11 février 2020</w:t>
      </w:r>
    </w:p>
    <w:p>
      <w:r>
        <w:t>IT: GE_GERICHTE ATA/164/2020 del 11 febbraio 2020</w:t>
      </w:r>
    </w:p>
    <w:p>
      <w:pPr>
        <w:pStyle w:val="Heading2"/>
      </w:pPr>
      <w:r>
        <w:t>Erwägungen</w:t>
      </w:r>
    </w:p>
    <w:p>
      <w:r>
        <w:rPr>
          <w:b/>
        </w:rPr>
        <w:t>E. 12</w:t>
      </w:r>
    </w:p>
    <w:p>
      <w:r>
        <w:t>septembre 1985 - LPA - E 5 10). 2)</w:t>
      </w:r>
    </w:p>
    <w:p>
      <w:r>
        <w:t>Est litigieux le bien-fondé de la facture de CHF 300.-.</w:t>
      </w:r>
    </w:p>
    <w:p>
      <w:r>
        <w:t>a. Aux termes de l’art. 59 de la loi sur police du 9 septembre 2014 (LPol - F 05), intitulé « frais d’intervention », lorsqu’un administré, par son comportement contraire au droit, a justifié l’intervention de la police, celle-ci lui en facture les frais (al. 1) ; lorsque l’intervention résulte de circonstances qui la rendent nécessaire ou d’une demande particulière, la police peut en facturer les frais (al. 2) ; les frais d’intervention de la police font l’objet d’un tarif établi par le Conseil d’État (al. 3).</w:t>
      </w:r>
    </w:p>
    <w:p>
      <w:r>
        <w:t>b. Selon l’art. 1 du règlement sur les émoluments et frais des services de police du 24 août 2016 (REmPol - F 1 05.15), la police, soit pour elle la DFP, peut percevoir pour l’exercice de ses activités le remboursement des frais et les émoluments prévus dans le REmPol, sous réserve des dispositions spéciales découlant notamment de l’application du droit fédéral ou concordataire (al. 1) ; les frais et émoluments liés aux interventions et prestations des services de police peuvent être mis à la charge des personnes qui les ont provoquées ou sollicitées (al. 2). Les frais réglés par la police au profit d'un tiers sont facturés à celui-ci, sauf circonstances particulières (art. 3 al. 1 REmPol).</w:t>
      </w:r>
    </w:p>
    <w:p>
      <w:r>
        <w:t>c. L'art. 8 let. a let. j REmPol prévoit comme tarif de base pour les notifications et l'exécution d'un mandat de conduite pour l'OP un émolument de CHF 300.-.</w:t>
      </w:r>
    </w:p>
    <w:p>
      <w:r>
        <w:t>d. Exceptionnellement, d'office ou sur requête de la personne qui démontre qu'elle est dépourvue de ressources suffisantes et pour autant que la faute de celle-ci soit de peu d'importance, les frais et émoluments en principe dus peuvent être remis, partiellement ou totalement (art. 14 al. 1 REmPol). La requête doit être déposée dans les trente jours dès notification de la facture relative aux frais et émoluments (art. 14 al. 2 REmPol). C'est la police, soit pour elle la DFP (art. 17 RemPol) qui est compétente pour statuer sur cette question. 3) a. Selon l’art. 2 du règlement sur les émoluments de l’administration cantonale du 15 septembre 1975 (REmAC - B 4 10.03), applicable par le renvoi de l’art. 1 al. 1 REmPol, les prestations particulières fournies par l’État impliquent en général la perception d’une taxe ou d’un émolument auprès des intéressés. La taxe ou l’émolument peut couvrir l’ensemble des frais internes engagés par l’État en vue de fournir des prestations particulières, demandées ou causées par les</w:t>
      </w:r>
    </w:p>
    <w:p>
      <w:r>
        <w:t>- 4/6 - A/725/2019 intéressés (art. 3 REmAC). Une certaine proportionnalité doit exister entre le montant de la taxe ou de l’émolument et l’utilité ou l’avantage procuré à l’intéressé (art. 4 REmAC). Ces principes ont rang constitutionnel et valent en particulier pour les émoluments de relativement faible importance, pour lesquels l'exigence de base légale est moins stricte (ATF 145 I 52 consid. 5.2 ; arrêt du Tribunal fédéral 2C_446/2019 du 20 septembre 2019 consid. 2.1.2).</w:t>
      </w:r>
    </w:p>
    <w:p>
      <w:r>
        <w:t>b. Selon le principe de la couverture des frais,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(ATA/494/2018 du 22 mai 2018 consid. 3d ; ATA/123/2008 du 18 mars 2008 et les références citées). 4)</w:t>
      </w:r>
    </w:p>
    <w:p>
      <w:r>
        <w:t>En l'espèce, le recourant ne remet pas en cause le montant de l'émolument, que ce soit sur la question de la couverture des frais ou sur celle de l'équivalence. Il semble en revanche vouloir contester le principe même du mandat de conduite, ce qui n'est toutefois pas possible dans la mesure où cet élément est exorbitant au litige. D'une part en effet, la décision attaquée ne concerne que l'émolument relatif à l'exécution du mandat, et d'autre part la police était en effet tenue d'exécuter la demande d'assistance présentée par l'OP. Il ne serait donc concevable de revoir à ce stade, à titre préjudiciel, la pertinence de ladite demande que si elle apparaissait à l'évidence dénuée de tout fondement, ce qui n'est pas le cas : il est incontesté que le recourant n'a pas répondu aux sollicitations de l'OP, et le fait qu'il ait été absent de Genève pendant plusieurs mois ne l'empêchait pas de prendre des mesures pour en informer les tiers.</w:t>
      </w:r>
    </w:p>
    <w:p>
      <w:r>
        <w:t>En tant qu'il demande l'annulation de la décision attaquée, le recours ne peut ainsi qu'être rejeté.</w:t>
      </w:r>
    </w:p>
    <w:p>
      <w:r>
        <w:t>En tant qu'il demande une exonération de l'émolument, le recours s'assimile à une demande de remise au sens de l'art. 14 REmPol, et il sera à ce titre et sur la base de l'art. 64 al. 2 LPA transmis à la DFP pour qu'elle statue sur ladite demande. 5)</w:t>
      </w:r>
    </w:p>
    <w:p>
      <w:r>
        <w:t>Au vu des circonstances d’espèce et de l’absence de jurisprudence sur la problématique en cause ; il sera renoncé au prélèvement d’un émolument (art. 87 al. 1 LPA), et il ne sera pas alloué d'indemnité de procédure (art. 87 al. 2 LPA).</w:t>
      </w:r>
    </w:p>
    <w:p>
      <w:r>
        <w:t>* * * * *</w:t>
      </w:r>
    </w:p>
    <w:p>
      <w:r>
        <w:t>- 5/6 - A/725/2019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