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ATA/164/2014 vom 18. März 2014</w:t>
      </w:r>
    </w:p>
    <w:p>
      <w:r>
        <w:t>GE Cour de justice, 2014-03-18, FR</w:t>
      </w:r>
    </w:p>
    <w:p>
      <w:r>
        <w:rPr>
          <w:b/>
        </w:rPr>
        <w:t xml:space="preserve">Quelle: </w:t>
      </w:r>
      <w:r>
        <w:t>https://mcp.opencaselaw.ch/entscheid/ge_gerichte_ATA_164_2014</w:t>
      </w:r>
    </w:p>
    <w:p>
      <w:r>
        <w:t>FR: GE_GERICHTE ATA/164/2014 du 18 mars 2014</w:t>
      </w:r>
    </w:p>
    <w:p>
      <w:r>
        <w:t>IT: GE_GERICHTE ATA/164/2014 del 18 marzo 2014</w:t>
      </w:r>
    </w:p>
    <w:p>
      <w:pPr>
        <w:pStyle w:val="Heading2"/>
      </w:pPr>
      <w:r>
        <w:t>Regeste</w:t>
      </w:r>
    </w:p>
    <w:p>
      <w:r>
        <w:t>Résumé: Le revenu est imposable dès lors qu'il est réalisé. Dans le cadre d'un contrat de vente incluant des termes de paiement différés par rapport à la remise de la chose, la recourante se prévalait de la remise de la chose comme condition d'exigibilité du montant du prix de vente. Or conformément au CO les termes conclus dans le contrat de vente font foi quant à l'exigibilité des prestations. Ainsi, le revenu imposable sera réalisé conformément aux termes contractuels prévus.</w:t>
      </w:r>
    </w:p>
    <w:p>
      <w:pPr>
        <w:pStyle w:val="Heading2"/>
      </w:pPr>
      <w:r>
        <w:t>Erwägungen</w:t>
      </w:r>
    </w:p>
    <w:p>
      <w:r>
        <w:rPr>
          <w:b/>
        </w:rPr>
        <w:t>E. 12</w:t>
      </w:r>
    </w:p>
    <w:p>
      <w:r>
        <w:t>al. 2 du règlement sur les frais, émoluments et indemnités en procédure administrative du 30 juillet 1986 - RFPA - E 5 10.03). Une indemnité de procédure de CHF 1'000.- sera allouée à Mme et M. X______, à la charge de Etat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