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ATA/163/2020 vom 11. Februar 2020</w:t>
      </w:r>
    </w:p>
    <w:p>
      <w:r>
        <w:t>GE Cour de justice, 2020-02-11, FR</w:t>
      </w:r>
    </w:p>
    <w:p>
      <w:r>
        <w:rPr>
          <w:b/>
        </w:rPr>
        <w:t xml:space="preserve">Quelle: </w:t>
      </w:r>
      <w:r>
        <w:t>https://mcp.opencaselaw.ch/entscheid/ge_gerichte_ATA_163_2020</w:t>
      </w:r>
    </w:p>
    <w:p>
      <w:r>
        <w:t>FR: GE_GERICHTE ATA/163/2020 du 11 février 2020</w:t>
      </w:r>
    </w:p>
    <w:p>
      <w:r>
        <w:t>IT: GE_GERICHTE ATA/163/2020 del 11 febbraio 2020</w:t>
      </w:r>
    </w:p>
    <w:p>
      <w:pPr>
        <w:pStyle w:val="Heading2"/>
      </w:pPr>
      <w:r>
        <w:t>Regeste</w:t>
      </w:r>
    </w:p>
    <w:p>
      <w:r>
        <w:t>Résumé: Recours d’une ressortissante de la République démocratique du Congo, mère d’une enfant mineure titulaire d’un permis d’établissement, contre le refus de lui délivrer un permis de séjour. Les conditions d’octroi d’un permis B n’étant remplies ni sous l’angle du cas de rigueur, ni sous l’angle de la protection de la vie familiale et son renvoi comme celui de sa fille étant possibles, licites et raisonnablement exigibles, le recours est rejeté.</w:t>
      </w:r>
    </w:p>
    <w:p>
      <w:pPr>
        <w:pStyle w:val="Heading2"/>
      </w:pPr>
      <w:r>
        <w:t>Erwägungen</w:t>
      </w:r>
    </w:p>
    <w:p>
      <w:r>
        <w:rPr>
          <w:b/>
        </w:rPr>
        <w:t>E. 12</w:t>
      </w:r>
    </w:p>
    <w:p>
      <w:r>
        <w:t>septembre 1985 - LPA - E 5 10). 2)</w:t>
      </w:r>
    </w:p>
    <w:p>
      <w:r>
        <w:t>Le litige porte sur la conformité au droit de la décision de l’OCPM du</w:t>
      </w:r>
    </w:p>
    <w:p>
      <w:r>
        <w:rPr>
          <w:b/>
        </w:rPr>
        <w:t>E. 13</w:t>
      </w:r>
    </w:p>
    <w:p>
      <w:r>
        <w:t>juillet 2018 refusant d’octroyer une autorisation de séjour à la recourante.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4)</w:t>
      </w:r>
    </w:p>
    <w:p>
      <w:r>
        <w:t>Le 1er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w:t>
      </w:r>
    </w:p>
    <w:p>
      <w:r>
        <w:t>- 6/16 - A/2963/2018 (OASA - RS 142.201). Conformément à la jurisprudence du Tribunal fédéral (arrêts du Tribunal fédéral 2C_841/2019 du 11 octobre 2019 consid. 3 ; 2C_737/2019 du 27 septembre 2019 consid. 4.1), les demandes déposées avant le 1er janvier 2019 sont régies par l’ancien droit, étant précisé que la plupart des dispositions de la LEI sont demeurées identiques.</w:t>
      </w:r>
    </w:p>
    <w:p>
      <w:r>
        <w:t>Dans le cas d’espèce, la demande d’autorisation de séjour de la recourante a été déposée le 14 octobre 2016, de sorte que c’est l’ancien droit qui s’applique. 5)</w:t>
      </w:r>
    </w:p>
    <w:p>
      <w:r>
        <w:t>Dans son recours, la recourante sollicite l’octroi d’une autorisation de séjour en application des art. 30 al. 1 let. b LEI et 31 OASA. Elle ne fait état d’aucun élément nouveau depuis le prononcé de la décision et du jugement litigieux. En particulier, elle ne prétend ni à plus forte raison ne démontre devant la chambre de céans que le père de sa fille contribuerait désormais à l’entretien de cette dernière. La chambre de céans fera pour l’essentiel siens les considérants du TAPI, le jugement en cause, auquel il convient de se référer pour le surplus, retenant à juste titre ce qui suit.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la RDC. 7) 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- 7/16 - A/2963/2018</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w:t>
      </w:r>
    </w:p>
    <w:p>
      <w:r>
        <w:rPr>
          <w:b/>
        </w:rPr>
        <w:t>E. 21</w:t>
      </w:r>
    </w:p>
    <w:p>
      <w:r>
        <w:t>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ATA/465/2017 du 25 avril 2017).</w:t>
      </w:r>
    </w:p>
    <w:p>
      <w:r>
        <w:t>d.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(ATF 123 II 125 consid. 4 ; arrêt du Tribunal fédéral 2A.718/2006 du 21 mars 2007 consid. 3).</w:t>
      </w:r>
    </w:p>
    <w:p>
      <w:r>
        <w:t>- 8/16 - A/2963/2018 8) a. L’art. 31 al. 1 OASA, dans sa teneur au moment du dépôt de la demande d’autorisation de séjour – étant précisé que le nouveau droit n’est pas plus favorable à l’intéressée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1er novembre 2019 [ci-après : Directives LEI], ch. 5.6.10 ; ATA/351/2019 du 2 avril 2019 consid. 6b).</w:t>
      </w:r>
    </w:p>
    <w:p>
      <w:r>
        <w:t>b.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w:t>
      </w:r>
    </w:p>
    <w:p>
      <w:r>
        <w:t>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(ATA/1788/2019 du 10 décembre 2019 consid. 7c et les arrêts cités).</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w:t>
      </w:r>
    </w:p>
    <w:p>
      <w:r>
        <w:t>- 9/16 - A/2963/2018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w:t>
      </w:r>
    </w:p>
    <w:p>
      <w:r>
        <w:rPr>
          <w:b/>
        </w:rPr>
        <w:t>E. 25</w:t>
      </w:r>
    </w:p>
    <w:p>
      <w:r>
        <w:t>avril 2002 consid. 5.2 ; arrêts du Tribunal administratif fédéra [ci-après : TAF] C-5414/2013 du 30 juin 2015 consid. 5.1.4 ; C-6379/2012 et C-6377/2012 du 17 novembre 2014 consid. 4.3).</w:t>
      </w:r>
    </w:p>
    <w:p>
      <w:r>
        <w:t>La jurisprudence requiert, de manière générale, une très longue durée (Minh SON NGUYEN/Cesla AMARELLE, Code annoté de droit des migrations, vol. 2 : LEtr, 2017, p. 269 et les références citées). Par durée assez longue, la jurisprudence entend une période de sept à huit ans (arrêt du TAF C-7330/2010 du 19 mars 2012 ; Minh SON NGUYEN/Cesla AMARELLE, op. cit., p. 269). 9) a. En l’espèce, la recourante réside en Suisse depuis le mois de décembre 2015, soit depuis peu de temps. On ne peut pas considérer qu’elle y soit bien intégrée au sens de la jurisprudence puisque, sans emploi, elle dépend entièrement de l’aide sociale. Elle allègue que sa situation administrative n’a pas facilité son accès au marché du travail, ce qui est possible, mais elle ne démontre toutefois pas qu’une fois sa procédure d’asile radiée du rôle, des emplois pour lesquels elle aurait postulé lui auraient été refusés.</w:t>
      </w:r>
    </w:p>
    <w:p>
      <w:r>
        <w:t>Pour le reste, la recourante a passé l’essentiel de sa vie, et donc les années déterminantes quant au développement de sa personnalité, dans son pays d’origine où vit encore notamment sa fille née en 2009. Si la recourante fait valoir qu’un retour en RDC l’exposerait à la précarité, elle ne démontre pas, alors qu’elle est jeune et en bonne santé, qu’elle serait empêchée d’y trouver un emploi. Il ne ressort par ailleurs pas du dossier que les difficultés auxquelles elle devrait faire face en cas de retour en RDC seraient pour elle plus graves que pour la moyenne des étrangers, en particulier des ressortissants de la RDC retournant dans leur pays. Certes, elle a expliqué lors de son audition par le SEM en décembre 2015 avoir été chassée de chez elle du fait qu’elle était enceinte. L’éventuel manque de soutien de sa famille lors de son retour dans son pays d’origine, dont elle connaît les us et coutumes pour y avoir vécu jusqu’à l’âge de 23 ans, n’est en l’espèce pas un élément pertinent puisque, quoi qu’il en soit, elle ne compte aucune famille en Suisse.</w:t>
      </w:r>
    </w:p>
    <w:p>
      <w:r>
        <w:t>b. S’agissant de la seconde enfant de la recourante, C______ est encore très jeune puisque née le 15 mai 2016. Elle est certes née en Suisse, mais elle n’a pas encore commencé sa scolarité obligatoire dans ce pays. Du fait de son jeune âge, elle reste par le biais de sa mère rattachée à la RDC et rien dans le dossier ne permet de penser qu’elle ne pourrait pas s’adapter à la vie dans ce pays où elle devrait retrouver une sœur âgée de dix ans.</w:t>
      </w:r>
    </w:p>
    <w:p>
      <w:r>
        <w:t>- 10/16 - A/2963/2018 10) La recourante allègue la protection de la vie familiale au sens de l’art. 8 de la Convention de sauvegarde des droits de l’homme et des libertés fondamentales du 4 novembre 1950 (CEDH - RS 0.101).</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t>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11) a. 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scolarité obligatoire (arrêt du Tribunal fédéral 2C_792/2013 du 11 février 2014 consid. 5.1 et les arrêts cités).</w:t>
      </w:r>
    </w:p>
    <w:p>
      <w:r>
        <w:t>b. Pour déterminer si l’on peut contraindre un enfant bénéficiant d’une autorisation d’établissement en Suisse à suivre le parent dont il dépend à</w:t>
      </w:r>
    </w:p>
    <w:p>
      <w:r>
        <w:t>- 11/16 - A/2963/2018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précité et les arrêts cités). 12) a.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2C_163/2013 du 1er mai 2013 consid. 2 ; 2C_185/2007 du 12 juin 2007 consid. 3.3.4 ; arrêt du TAF C-3518/2009 du 20 mai 2010 consid. 9.5). Selon le TAF, ce « serait aller trop loin au regard de l'art. 8 CEDH » que d'étendre un droit de présence en Suisse à la mère d’un enfant extra-européen, dans le seul but de faciliter l'exercice du droit de visite de son père, au bénéfice d’un permis d’établissement (arrêt du TAF C- 5517/2010 du 25 août 2011 consid. 8.3).</w:t>
      </w:r>
    </w:p>
    <w:p>
      <w:r>
        <w:t>b.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(ATA/426/2016 du 24 mai 2016 consid. 9e ; ATA/155/2011 du 8 mars 2011 et les références citées).</w:t>
      </w:r>
    </w:p>
    <w:p>
      <w:r>
        <w:t>c.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ATA/400/2016 précité).</w:t>
      </w:r>
    </w:p>
    <w:p>
      <w:r>
        <w:t>- 12/16 - A/2963/2018</w:t>
      </w:r>
    </w:p>
    <w:p>
      <w:r>
        <w:t>d.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13) En l’espèce, le TAPI a, à juste titre, laissé ouverte la question de savoir si le père de C______ entretenait avec elle une relation affective particulièrement étroite au sens de la jurisprudence. En effet, il n’est pas contesté qu’il ne contribue pas à l’entretien financier de sa fille, de sorte que la condition de l’existence d’une relation économique étroite fait défaut.</w:t>
      </w:r>
    </w:p>
    <w:p>
      <w:r>
        <w:t>Au vu dossier, rien n’indique au surplus que le père de C______, malgré les difficultés dues à la distance, ne pourrait pas exercer un éventuel droit de visite à l’étranger, ni qu’il serait empêché, malgré cette distance, de contribuer financièrement à son entretien ou encore d’échanger avec elle, dès qu’elle parlera, avec les moyens de communication modernes.</w:t>
      </w:r>
    </w:p>
    <w:p>
      <w:r>
        <w:t>Certes, C______ est née en Suisse. Du fait de son très jeune âge, et comme cela a déjà été examiné, elle reste néanmoins encore attachée à sa mère dont elle partage le sort. Les quelques années passées en Suisse ne peuvent pas être considérées comme déterminantes au point qu’un départ en RDC constituerait pour elle un déracinement, rien dans le dossier ne permettant d’exclure qu’elle pourra s’adapter à ses nouvelles conditions de vie, avec sa mère, dans leur pays d’origine.</w:t>
      </w:r>
    </w:p>
    <w:p>
      <w:r>
        <w:t>Il convient également de rappeler, à la suite des premiers juges, que la recourante dépend entièrement de l’assistance publique et que cette dépendance constitue un motif d’ordre public à son éloignement.</w:t>
      </w:r>
    </w:p>
    <w:p>
      <w:r>
        <w:t>Il découle de ce qui précède que la recourante et sa fille ne peuvent pas tirer de l’art. 8 CEDH un droit à pouvoir séjourner en Suisse. 14)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(ATA/1798/2019 du 10 décembre 2019 consid. 6 et les arrêts cités).</w:t>
      </w:r>
    </w:p>
    <w:p>
      <w:r>
        <w:t>- 13/16 - A/2963/2018</w:t>
      </w:r>
    </w:p>
    <w:p>
      <w:r>
        <w:t>b. En l’espèce, dès lors qu’il a refusé l’octroi d’une autorisation de séjour à la recourante, l’intimé devait prononcer son renvoi et celui de sa fille dont elle a la garde. 15) a. Selon l’art 83 LEI, le SEM décide d’admettre à titre provisoire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b. Le TAF a rappelé il y a peu que la RDC ne connaît pas de situation de guerre, de guerre civile ou de violence généralisée sur l'ensemble de son territoire, qui permettrait d'emblée de présumer, pour tous les ressortissants de cet État et indépendamment des circonstances de chaque cas d'espèce, l'existence d'une mise en danger concrète de ceux-ci, au sens de l'art. 83 al. 4 LEI (arrêt du TAF E-3934/2018 du 19 décembre 2019). Enfin, si des troubles ont eu lieu récemment dans l’est du pays (voir par exemple : https://information.tv5monde.com/ afrique/crise-politique-en-rdc), cela ne devrait pas concerner la recourante, puisqu’il ressort du procès-verbal de son audition par le SEM en décembre 2015 qu’elle est non seulement née à Kinshasa, mais que c’est dans cette ville qu’elle habitait avant de venir en Suisse. S’il ne fait aucun doute que les conditions de vie en RDC sont sous plusieurs aspects plus difficiles qu’en Suisse, il ne ressort pas du dossier que la recourante et sa fille pourraient être mises en danger du fait de motifs inhérents à leur propre personne.</w:t>
      </w:r>
    </w:p>
    <w:p>
      <w:r>
        <w:t>Il apparaît dès lors que l’OCPM n’a ni excédé ni abusé de son pouvoir d’appréciation en refusant de délivrer une autorisation de séjour à la recourante et en prononçant son renvoi, ainsi que celui de sa fille. Le jugement du TAPI doit en conséquence être confirmé.</w:t>
      </w:r>
    </w:p>
    <w:p>
      <w:r>
        <w:t>Au vu de ce qui précède, le recours sera rejeté. Cette issue rend sans objet la conclusion en restitution de l’effet suspensif, la recourante ayant quoi qu’il en soit pu attendre en Suisse le prononcé du présent arrêt. 16) Aucun émolument ne sera perçu malgré l'issue du litige, la recourante plaidant au bénéfice de l'assistance juridique (art. 87 al. 1 LPA et 13 al. 1 du règlement sur les frais, émoluments et indemnités en procédure administrative du</w:t>
      </w:r>
    </w:p>
    <w:p>
      <w:r>
        <w:t>- 14/16 - A/2963/2018</w:t>
      </w:r>
    </w:p>
    <w:p>
      <w:r>
        <w:rPr>
          <w:b/>
        </w:rPr>
        <w:t>E. 30</w:t>
      </w:r>
    </w:p>
    <w:p>
      <w:r>
        <w:t>juillet 1986 (RFPA - E 5 10.03). Au vu de ladite issue, aucune indemnité de procédure de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