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ATA/163/2010 vom 9. März 2010</w:t>
      </w:r>
    </w:p>
    <w:p>
      <w:r>
        <w:t>GE Cour de justice, 2010-03-09, FR</w:t>
      </w:r>
    </w:p>
    <w:p>
      <w:r>
        <w:rPr>
          <w:b/>
        </w:rPr>
        <w:t xml:space="preserve">Quelle: </w:t>
      </w:r>
      <w:r>
        <w:t>https://mcp.opencaselaw.ch/entscheid/ge_gerichte_ATA_163_2010</w:t>
      </w:r>
    </w:p>
    <w:p>
      <w:r>
        <w:t>FR: GE_GERICHTE ATA/163/2010 du 9 mars 2010</w:t>
      </w:r>
    </w:p>
    <w:p>
      <w:r>
        <w:t>IT: GE_GERICHTE ATA/163/2010 del 9 marzo 2010</w:t>
      </w:r>
    </w:p>
    <w:p>
      <w:pPr>
        <w:pStyle w:val="Heading2"/>
      </w:pPr>
      <w:r>
        <w:t>Regeste</w:t>
      </w:r>
    </w:p>
    <w:p>
      <w:r>
        <w:t>Résumé: Confirmation de la valeur fiscale d'un immeuble retenue par l'AFC en calculant le montant des loyers capitalisés au taux déterminé par le Conseil d'Etat plutôt que la valeur vénale de l'immeuble comme souhaité par le recourant. Pour le surplus, ce dernier n'a pas démontré que des prestations de service inhabituelles seraient intégrées dans les loyers perçus.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La jurisprudence du Tribunal administratif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w:t>
      </w:r>
    </w:p>
    <w:p>
      <w:r>
        <w:t>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(ATA/168/2008 du</w:t>
      </w:r>
    </w:p>
    <w:p>
      <w:r>
        <w:t>- 6/9 - A/2323/2008 8 avril 2008 ; ACOM/49/2008 du 17 avril 2008 ; B. BOVAY, Procédure administrative, Berne 2000, p. 390/391).</w:t>
      </w:r>
    </w:p>
    <w:p>
      <w:r>
        <w:t>En l'espèce, le recourant remet en cause pour la première fois devant le Tribunal administratif la question de la répartition intercantonale de la fortune. Cette conclusion sera dès lors déclarée irrecevable.</w:t>
      </w:r>
    </w:p>
    <w:p>
      <w:r>
        <w:rPr>
          <w:b/>
        </w:rPr>
        <w:t>E. 3</w:t>
      </w:r>
    </w:p>
    <w:p>
      <w:r>
        <w:t>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 III. De plus, l'art. 26 let. d du règlement d'application de la loi sur l'imposition des personnes physiques du 13 janvier 2010 (RIPP - D 3 08.01) abroge le RIPP-III.</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c. Le litige concernant la période fiscale 2002 doit ainsi être examiné à l’aune de l’aLIPP-III et de son règlement d'application, l’aRIPP-III.</w:t>
      </w:r>
    </w:p>
    <w:p>
      <w:r>
        <w:rPr>
          <w:b/>
        </w:rPr>
        <w:t>E. 4</w:t>
      </w:r>
    </w:p>
    <w:p>
      <w:r>
        <w:t>a. Selon l’art. 14 al. 1 de la loi fédérale sur l’harmonisation des impôts directs des cantons et des communes (LHID - RS 642.14), la fortune est estimée à la valeur vénale. Toutefois, la valeur de rendement peut être prise en considération de façon appropriée.</w:t>
      </w:r>
    </w:p>
    <w:p>
      <w:r>
        <w:t>Cette disposition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Toutefois, l'évaluation ne saurait se faire à l'aune du seul critère du rendement, sans prise en compte de la valeur vénale du bien considéré. Par ailleurs, la valeur de rendement ne peut, le cas échéant, être prise en considération que de manière appropriée ; elle ne saurait justifier n'importe quel écart avec la valeur vénale (cf. Arrêt du Tribunal fédéral 2C_820/2008 du 23 avril 2009 et la jurisprudence citées).</w:t>
      </w:r>
    </w:p>
    <w:p>
      <w:r>
        <w:t>b. L’évaluation des immeubles locatifs situés dans le canton de Genève est calculée en capitalisant l’état locatif annuel aux taux fixés chaque année par le Conseil d’Etat, sur proposition d’une commission d’experts, composée</w:t>
      </w:r>
    </w:p>
    <w:p>
      <w:r>
        <w:t>- 7/9 - A/2323/2008 paritairement de représentants de l’AFC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let. a 7 aLIPP-III, ).</w:t>
      </w:r>
    </w:p>
    <w:p>
      <w:r>
        <w:t>Le Tribunal fédéral a admis que cette disposition s'insérait dans le cadre de l'art. 14 al. 1 LHID : le principe de la capitalisation de l'état locatif inscrit à l'art. 7 let. a aLIPP-III renvoie en effet à la valeur de rendement, tandis que la prise en considération, pour déterminer le taux de capitalisation applicable, des transactions constatées sur le marché ou de l'âge des logements (cf. art. 7 let. a LIPP-III en liaison avec l'art. 3 al. 1 et 4 let. a et b aRIPP-III) se réfère à des critères qui relèvent plus particulièrement de la valeur vénale (ATF 134 II 207 consid. 3.8 in fine p. 215 s.).</w:t>
      </w:r>
    </w:p>
    <w:p>
      <w:r>
        <w:t>c. Selon la jurisprudence du Tribunal fédéral,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(cf. ATF 114 Ia 221 ; 123 II 9 du 13 février 1998, RDAF 1998 441).</w:t>
      </w:r>
    </w:p>
    <w:p>
      <w:r>
        <w:t>Les méthodes d'estimation conduisent obligatoirement à une certaine globalisation et schématisation qui ne peuvent pas tenir compte de tous les aspects individuels. Cependant, un tel résultat est inévitable pour des raisons pratiques touchant également à l'économie de la taxation. Dans une certaine mesure, ce désavantage est aussi acceptable, même si, par là, l'égalité de traitement ne peut pas être entièrement garantie. On considère qu'un résultat est insoutenable ou en violation crasse de la loi si la valeur prise pour déterminer la valeur locative est plus élevée que le prix effectivement offert sur le marché (Arrêt du Tribunal fédéral 2P.279/1999 du 3 novembre 2000, aussi publié in RF 56 [2001] p. 414, concernant une affaire schwytzoise. Dans ce canton, le revenu locatif ne se fondait pas sur les loyers effectivement perçus, mais était calculé en se basant sur la valeur estimée du bien concerné).</w:t>
      </w:r>
    </w:p>
    <w:p>
      <w:r>
        <w:rPr>
          <w:b/>
        </w:rPr>
        <w:t>E. 5</w:t>
      </w:r>
    </w:p>
    <w:p>
      <w:r>
        <w:t>En l’espèce, l’AFC a strictement appliqué les dispositions légales en vigueur à Genève. Les éléments mis en avant par M. R_______ n’apparaissent pas aptes à modifier cette solution.</w:t>
      </w:r>
    </w:p>
    <w:p>
      <w:r>
        <w:t>D’une part, le recourant ne démontre pas que des prestations de service inhabituels seraient intégrés dans les loyers perçus pour des locaux situés dans W______. La référence internet qu’il a mentionnée dans son mémoire de recours indique le contraire : les prestations de la plateforme téléphonique sont facturées par un forfait mensuel, qui par définition n’est pas intégré dans le loyer.</w:t>
      </w:r>
    </w:p>
    <w:p>
      <w:r>
        <w:t>- 8/9 - A/2323/2008</w:t>
      </w:r>
    </w:p>
    <w:p>
      <w:r>
        <w:t>D’autre part, les nombreuses ventes de parts de copropriété du W______ qui ont eu lieu en 2002 sont principalement le fait du même vendeur et ne peuvent démontrer la valeur vénale à retenir dans le cas d'espèce, dans l’hypothèse où cette notion serait pertinente pour déterminer la valeur fiscale de l’immeuble dans le système genevois.</w:t>
      </w:r>
    </w:p>
    <w:p>
      <w:r>
        <w:t>En dernier lieu, l’arrêt du Tribunal fédéral du 3 novembre 2000 précité ne permet pas de modifier cette appréciation. La question qui était soumise à cette autorité était entièrement différente, puisqu’il s’agissait de déterminer un revenu locatif depuis une valeur estimée. Cette situation se retrouve à Genève, notamment dans le cas des logements occupés par leurs propriétaires, mais ne peut être comparée à celle de M. R_______.</w:t>
      </w:r>
    </w:p>
    <w:p>
      <w:r>
        <w:t>Quant à la conclusion concernant la déduction d’une dette de capitalisation, elle n’est pas compréhensible. Il n’y a, en effet, pas de différence entre la fortune imposable déterminée selon les règles de la LHID et celles prévues par le droit cantonal, ce dernier devant par définition être conforme au premier.</w:t>
      </w:r>
    </w:p>
    <w:p>
      <w:r>
        <w:rPr>
          <w:b/>
        </w:rPr>
        <w:t>E. 6</w:t>
      </w:r>
    </w:p>
    <w:p>
      <w:r>
        <w:t>Au vu de ce qui précède, le recours sera rejeté. Un émolument de procédure de CHF 2'500.-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