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ATA/1626/2019 vom 5. November 2019</w:t>
      </w:r>
    </w:p>
    <w:p>
      <w:r>
        <w:t>GE Cour de justice, 2019-11-05, FR</w:t>
      </w:r>
    </w:p>
    <w:p>
      <w:r>
        <w:rPr>
          <w:b/>
        </w:rPr>
        <w:t xml:space="preserve">Quelle: </w:t>
      </w:r>
      <w:r>
        <w:t>https://mcp.opencaselaw.ch/entscheid/ge_gerichte_ATA_1626_2019</w:t>
      </w:r>
    </w:p>
    <w:p>
      <w:r>
        <w:t>FR: GE_GERICHTE ATA/1626/2019 du 5 novembre 2019</w:t>
      </w:r>
    </w:p>
    <w:p>
      <w:r>
        <w:t>IT: GE_GERICHTE ATA/1626/2019 del 5 novembre 2019</w:t>
      </w:r>
    </w:p>
    <w:p>
      <w:pPr>
        <w:pStyle w:val="Heading2"/>
      </w:pPr>
      <w:r>
        <w:t>Erwägungen</w:t>
      </w:r>
    </w:p>
    <w:p>
      <w:r>
        <w:rPr>
          <w:b/>
        </w:rPr>
        <w:t>E. 12</w:t>
      </w:r>
    </w:p>
    <w:p>
      <w:r>
        <w:t>septembre 1985 - LPA - E 5 10). 2) a. Selon l'art. 70 al. 1 LPA, l'autorité peut, d'office ou sur requête, joindre en une même procédure des affaires qui se rapportent à une situation identique ou à une cause juridique commune.</w:t>
      </w:r>
    </w:p>
    <w:p>
      <w:r>
        <w:t>b. En l'espèce, les recours sont dirigés contre des décisions similaires, prononcées par la même autorité et sanctionnant le même détenu. Leur origine se rapportent aux mêmes types d’incidents.</w:t>
      </w:r>
    </w:p>
    <w:p>
      <w:r>
        <w:t>Vu la connexité entre les questions juridiques litigieuses, les trois procédures seront jointes sous le numéro de cause A/2301/2019, soit le numéro de cause le plus ancien. 3)</w:t>
      </w:r>
    </w:p>
    <w:p>
      <w:r>
        <w:t>Le recourant demande à ce que les détenus présents dans l'atelier le 11 juin 2019 soient entendus.</w:t>
      </w:r>
    </w:p>
    <w:p>
      <w:r>
        <w:t>a. Le droit d’être entendu, garanti par les art. 29 al. 2 de la Constitution fédérale de la Confédération suisse du 18 avril 1999 (Cst. - RS 101), comprend, en particulier, le droit pour la personne concernée de fournir des preuves quant aux faits de nature à influer sur le sort de la décision et de participer à l’administration des preuves (ATF 132 II 485 consid. 3.2 ; 129 II 497 consid. 2.2).</w:t>
      </w:r>
    </w:p>
    <w:p>
      <w:r>
        <w:t>L'autorité peut toutefois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134 I 140 consid. 5.3).</w:t>
      </w:r>
    </w:p>
    <w:p>
      <w:r>
        <w:t>b. En l’espèce, la chambre de céans a visionné les images de vidéosurveillance. Celles-ci lui ont permis d’avoir une connaissance précise du déroulement des faits pertinents. Il n’est ainsi pas nécessaire d'auditionner les détenus travaillant dans l'atelier le jour de l'incident. 4)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w:t>
      </w:r>
    </w:p>
    <w:p>
      <w:r>
        <w:t>- 6/9 - A/2301/2019 L’administration dispose d’un éventail de sanctions dont le choix doit respecter le principe de la proportionnalité (Pierre MOOR/Étienne POLTIER, Droit administratif, vol. 2, 3ème éd.,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(ATA/43/2019 du 15 janvier 2019 ; ATA/1108/2018 du 17 octobre 2018 et les références citées).</w:t>
      </w:r>
    </w:p>
    <w:p>
      <w:r>
        <w:t>b. Les personnes détenues ont l'obligation de respecter les dispositions du règlement relatif aux établissements ouverts ou fermés d’exécution des peines et des sanctions disciplinaires du 25 juillet 2007 (REPSD - F 1 50.08), les instructions du directeur général de l'office cantonal de la détention (ci-après : OCD), ainsi que les ordres du directeur de l'établissement et du personnel pénitentiaire (art. 42 REPSD).</w:t>
      </w:r>
    </w:p>
    <w:p>
      <w:r>
        <w:t>La personne détenue doit observer une attitude correcte à l'égard du personnel, des autres personnes détenues et des tiers (art. 43 REPSD). Il est notamment interdit de troubler l'ordre ou la tranquillité dans l'établissement ou les environs immédiats (art. 44 let. i REPSD), et d'une façon générale, d'adopter un comportement contraire au but de l'établissement (art. 44 let. j REPSD).</w:t>
      </w:r>
    </w:p>
    <w:p>
      <w:r>
        <w:t>c. Aux termes de l’art. 46 REPSD, si une personne détenue enfreint le REPSD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w:t>
      </w:r>
    </w:p>
    <w:p>
      <w:r>
        <w:t>Selon l’art. 46 al. 3 REPSD, le directeur de l'établissement et son suppléant en son absence sont compétents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Le directeur de l’établissement peut déléguer la compétence de prononcer ces sanctions prévues à d'autres membres du personnel gradé de l’établissement. Les modalités de la délégation sont prévues dans un ordre de service (art. 46 al. 7 REPSD).</w:t>
      </w:r>
    </w:p>
    <w:p>
      <w:r>
        <w:t>d. De jurisprudence constante, la chambre de céans accorde généralement valeur probante aux constatations figurant dans un rapport de police, établi par des agents assermentés (ATA/1339/2018 du 11 décembre 2018 et les arrêts cités),</w:t>
      </w:r>
    </w:p>
    <w:p>
      <w:r>
        <w:t>- 7/9 - A/2301/2019 sauf si des éléments permettent de s’en écarter.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(ATA/36/2019 du 15 janvier 2019 ; ATA/1242/2018 du 20 novembre 2018).</w:t>
      </w:r>
    </w:p>
    <w:p>
      <w:r>
        <w:t>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t>f.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 5)</w:t>
      </w:r>
    </w:p>
    <w:p>
      <w:r>
        <w:t>En l’espèce, l’intéressé ne conteste pas avoir refusé, le 11 juin 2019, d’effectuer la tâche de balayage qui lui était demandée puis, les 14 et 21 juin 2019, d’avoir refusé de se rendre au travail, comme il devait le faire.</w:t>
      </w:r>
    </w:p>
    <w:p>
      <w:r>
        <w:t>Les motifs du refus initial n’apparaissent pas avoir beaucoup de pertinence. S’il est vrai que l’on peut s’étonner qu’un balayage d’un atelier de buanderie soit ordonné alors même que des employés y manipulent du linge propre, cela ne justifie en aucun cas un refus d’effectuer la tâche, laquelle n’apparaît pas en soi dégradante ou humiliante d’une part. D’autre part, le contexte décrit par le recourant, soit le fait que cette tâche ait été suggérée par d’autres détenus avec qui il aurait eu des litiges et les tensions qu’il aurait avec le chef de l’atelier buanderie ne peuvent pas non plus justifier un tel refus. Après avoir manifesté son étonnement, ce qui semble ressortir des images de la vidéosurveillance, le détenu devait respecter l’ordre de son chef d’atelier si ce dernier le maintenait.</w:t>
      </w:r>
    </w:p>
    <w:p>
      <w:r>
        <w:t>Il en va de même pour les sanctions prononcées postérieurement, dès lors que la demande d’effectuer un balayage dans l’atelier, qui ne devait pas être refusé initialement, ne peut en aucun cas justifier le refus d’aller travailler dans cet atelier ultérieurement.</w:t>
      </w:r>
    </w:p>
    <w:p>
      <w:r>
        <w:t>En conséquence, les infractions disciplinaires retenues à l’encontre du recourant constituent des refus d’ordres, soit des infractions à l’art. 42 REPSD.</w:t>
      </w:r>
    </w:p>
    <w:p>
      <w:r>
        <w:t>- 8/9 - A/2301/2019 6)</w:t>
      </w:r>
    </w:p>
    <w:p>
      <w:r>
        <w:t>Le choix du type de sanctions infligées, situé au deuxième niveau de la gravité des sanctions, sur quatre, et cela pour une durée de deux, sept, puis quinze jours, ce qui, même additionnées, n’atteint pas le tiers du maximum possible, soit trois mois, respecte le principe de la proportionnalité. L’attitude du recourant, en particulier son refus d’obéir, n’est en effet pas admissible à l’intérieur d’un établissement de détention. L’augmentation relative de la durée des sanctions est aussi justifiée, face à la persistance du refus du recourant de se soumettre aux ordres qu’il recevait. 7)</w:t>
      </w:r>
    </w:p>
    <w:p>
      <w:r>
        <w:t>Ainsi, les sanctions prononcées, qui sont fondées et respectent le principe de la proportionnalité, seront confirmées. Les recours sont donc mal fondés et seront rejetés. 8)</w:t>
      </w:r>
    </w:p>
    <w:p>
      <w:r>
        <w:t>Vu la nature du litige, aucun émolument ne sera perçu (art. 87 al. 1 LPA et art. 12 al. 1 du règlement sur les frais, émoluments et indemnités en procédure administrative du 30 juillet 1986 - RFPA - E 5 10.03).</w:t>
      </w:r>
    </w:p>
    <w:p>
      <w:r>
        <w:t>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