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ATA/1620/2019 vom 5. November 2019</w:t>
      </w:r>
    </w:p>
    <w:p>
      <w:r>
        <w:t>GE Cour de justice, 2019-11-05, FR</w:t>
      </w:r>
    </w:p>
    <w:p>
      <w:r>
        <w:rPr>
          <w:b/>
        </w:rPr>
        <w:t xml:space="preserve">Quelle: </w:t>
      </w:r>
      <w:r>
        <w:t>https://mcp.opencaselaw.ch/entscheid/ge_gerichte_ATA_1620_2019</w:t>
      </w:r>
    </w:p>
    <w:p>
      <w:r>
        <w:t>FR: GE_GERICHTE ATA/1620/2019 du 5 novembre 2019</w:t>
      </w:r>
    </w:p>
    <w:p>
      <w:r>
        <w:t>IT: GE_GERICHTE ATA/1620/2019 del 5 novembre 2019</w:t>
      </w:r>
    </w:p>
    <w:p>
      <w:pPr>
        <w:pStyle w:val="Heading2"/>
      </w:pPr>
      <w:r>
        <w:t>Erwägungen</w:t>
      </w:r>
    </w:p>
    <w:p>
      <w:r>
        <w:rPr>
          <w:b/>
        </w:rPr>
        <w:t>E. 12</w:t>
      </w:r>
    </w:p>
    <w:p>
      <w:r>
        <w:t>septembre 1985 - LPA - E 5 10). 2)</w:t>
      </w:r>
    </w:p>
    <w:p>
      <w:r>
        <w:t>Le 1er janvier 2019, est entrée en vigueur une modification de la loi fédérale sur les étrangers du 16 décembre 2005 (LEtr - RS 142.20), devenue la LEI.</w:t>
      </w:r>
    </w:p>
    <w:p>
      <w:r>
        <w:t>Conformément à la jurisprudence du Tribunal fédéral (arrêts du Tribunal fédéral 2C_841/2019 du 11 octobre 2019 consid. 3 ; 2C_737/2019 du 27 septembre 2019 consid. 4.1), la demande en reconsidération ayant été déposée avant le 1er janvier 2019, elle est régie par l'ancien droit.</w:t>
      </w:r>
    </w:p>
    <w:p>
      <w:r>
        <w:t>- 10/16 - A/536/2019 3)</w:t>
      </w:r>
    </w:p>
    <w:p>
      <w:r>
        <w:t>Le litige porte sur la conformité au droit du refus d'entrer en matière sur la demande de reconsidération de la décision de refuser le renouvellement de l'autorisation de séjour du recourant et prononçant son renvoi de Suisse.</w:t>
      </w:r>
    </w:p>
    <w:p>
      <w:r>
        <w:t>a.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ATA/159/2018 du 20 février 2018 consid. 3a et les arrêts cités).</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(ATA/159/2018 précité consid. 3a et les arrêts cités).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(ATA/36/2014 du 21 janvier 2014 consid. 2 ; ATA/811/2013 du 10 décembre 2013 consid. 2c).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(ATA/93/2019 du 29 janvier 2019 consid. 3a ; ATA/1314/2018 du 4 décembre 2018 consid. 2d).</w:t>
      </w:r>
    </w:p>
    <w:p>
      <w:r>
        <w:t>b. 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w:t>
      </w:r>
    </w:p>
    <w:p>
      <w:r>
        <w:t>- 11/16 - A/536/2019</w:t>
      </w:r>
    </w:p>
    <w:p>
      <w:r>
        <w:t>c.</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pas la décision initiale (arrêts du Tribunal fédéral 2C_319/2015 du 10 septembre 2015 consid. 3 ; 2C_406/2013 du 23 septembre 2013 consid. 4.1 ; ATA/159/2018 précité consid. 3c).</w:t>
      </w:r>
    </w:p>
    <w:p>
      <w:r>
        <w:t>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w:t>
      </w:r>
    </w:p>
    <w:p>
      <w:r>
        <w:t>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arrêts du Tribunal fédéral 2C_556/2018 du 14 novembre 2018 consid. 3; 2C_198/2018 du 25 juin 2018 consid. 3.3 et les références citées).</w:t>
      </w:r>
    </w:p>
    <w:p>
      <w:r>
        <w:t>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ATA/1412/2017 précité consid. 4c).</w:t>
      </w:r>
    </w:p>
    <w:p>
      <w:r>
        <w:t>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w:t>
      </w:r>
    </w:p>
    <w:p>
      <w:r>
        <w:t>- 12/16 - A/536/2019 s'est pas conformé à une décision initiale malgré son entrée en force (ATA/36/2018 précité consid. 5a ; ATA/598/2016 du 12 juillet 2016). 4)</w:t>
      </w:r>
    </w:p>
    <w:p>
      <w:r>
        <w:t>En l’espèce, les faits que le recourant qualifie de nouveaux concerne sa situation familiale et économique. Il convient donc d’examiner si ces faits, qui se sont tous produits en 2018, sont constitutifs de faits nouveaux au sens de l’art. 48 LPA justifiant l’entrée en matière sur sa demande de reconsidération.</w:t>
      </w:r>
    </w:p>
    <w:p>
      <w:r>
        <w:t>a. Le prononcé du divorce du recourant le 25 septembre 2018 constitue un fait nouveau, postérieur à la procédure relative au refus de renouveler son autorisation de séjour. Toutefois, le caractère fictif du mariage conclu avec Mme D______ ayant précisément conduit au non-renouvellement de son autorisation de séjour, le divorce du recourant ne constitue pas une circonstance nouvelle susceptible d’influer sur le traitement de son statut administratif. Le recourant se borne à cet égard d’affirmer la nouveauté du fait, mais n’expose pas en quoi il serait déterminant dans l’octroi d’un droit de séjour en Suisse.</w:t>
      </w:r>
    </w:p>
    <w:p>
      <w:r>
        <w:t>b. Il ressort de l’arrêt du 12 septembre 2017 (partie « En fait », point 77) de la chambre de céans, que le SEM avait, le 4 juillet 2017, refusé au recourant l’octroi d’un visa de retour. Ledit courrier mentionnait aussi que Mme F______ était alors enceinte d'un deuxième enfant du recourant. La naissance à venir de I______ était donc un élément connu dans la procédure relative au refus de renouveler l’autorisation de séjour du recourant. En outre, la naissance est survenue avant le prononcé de l’arrêt de la chambre de céans. Dans son recours au Tribunal fédéral, le recourant a d’ailleurs critiqué, en vain, le fait que la chambre de céans avait tenu compte du fait qu’il était sur le point de devenir une seconde fois père. La présente procédure en reconsidération ne peut être utilisée pour obtenir un nouvel examen d’un fait, qui était déjà survenu lors de la précédente procédure.</w:t>
      </w:r>
    </w:p>
    <w:p>
      <w:r>
        <w:t>c. Par ailleurs, il est exact que la reconnaissance formelle par le recourant de son fils H______, né en 2010, est intervenue le 31 octobre 2017, à savoir après le prononcé de l’arrêt de la chambre de céans du 12 septembre 2017 statuant sur le recours relatif au refus de renouveler son autorisation de séjour. Cela étant, il a été tenu compte, dans la précédente procédure, de la paternité alléguée par le recourant sur cet enfant. La chambre de céans avait exposé qu’un étranger ne pouvait invoquer la protection de la vie familiale découlant de l'art. 8 CEDH qu’à condition qu'il entretienne une relation étroite et effective avec une personne de sa famille ayant le droit de résider durablement en Suisse, ce qui suppose, selon la jurisprudence du Tribunal fédéral, que cette personne ait la nationalité suisse ou soit au bénéfice d'une autorisation d'établissement ou d'un droit certain à une autorisation de séjour en Suisse. Or, le recourant ne pouvait prétendre entretenir avec une personne ayant le droit de résider durablement en Suisse une relation étroite et effective. Outre le fait qu’il n’avait pas reconnu son enfant, H______ et sa mère ne disposaient pas d’un droit de séjour en Suisse. Dans ces circonstances,</w:t>
      </w:r>
    </w:p>
    <w:p>
      <w:r>
        <w:t>- 13/16 - A/536/2019 le refus de délivrer une autorisation de séjour au recourant était conforme à l'art. 8 CEDH.</w:t>
      </w:r>
    </w:p>
    <w:p>
      <w:r>
        <w:t>Dans son arrêt du 7 mai 2018, le Tribunal fédéral a retenu que l'arrêt cantonal ne violait ni le droit fédéral ni l'art. 8 CEDH, relevant que H______ n'était pas au bénéfice d'un titre de séjour.</w:t>
      </w:r>
    </w:p>
    <w:p>
      <w:r>
        <w:t>Ainsi, bien qu’elle n’était alors pas encore établie officiellement, la question de savoir si du fait de sa paternité, le recourant pouvait se prévaloir de la protection de la vie familiale découlant de l'art. 8 CEDH, a déjà été examinée dans la procédure relative au refus de renouveler l’autorisation de séjour du recourant. La seule confirmation de cette paternité ne constitue donc pas un fait nouveau susceptible de modifier l’analyse de la situation du recourant déjà effectuée.</w:t>
      </w:r>
    </w:p>
    <w:p>
      <w:r>
        <w:t>d. En outre, la prétendue amélioration de la situation économique du recourant ne saurait constituer une circonstance nouvelle justifiant un réexamen. D’une part, elle résulte du fait que le recourant ne s’est pas conformé à la décision de renvoi prononcée à son encontre, ce qui lui a permis d’œuvrer à l’amélioration de sa situation économique. D’autre part, s’il entend obtenir une autorisation visant à pouvoir développer son activité économique, le recourant doit entreprendre une procédure en délivrance d’une autorisation de séjour avec activité lucrative, type d’autorisations qui obéit à d’autres règles et doit être requise auprès d’une autre autorité que l’intimée.</w:t>
      </w:r>
    </w:p>
    <w:p>
      <w:r>
        <w:t>e. Enfin, la question de savoir si le renvoi du recourant était licite, possible et raisonnablement exigible a été examinée par la chambre de céans dans son arrêt du 12 septembre 2017, confirmé sur ce point également par le Tribunal fédéral. Pour le surplus, le recourant n’apporte pas d’éléments permettant de retenir que la situation au Bandgladesh ou au Népal aurait connu des modifications notables qui justifieraient l’entrée en matière sur sa demande de reconsidération. Les informations générales fournies, qui décrivent les conseils aux voyageurs, ne font pas état de modifications importantes survenues dans ces pays, qui seraient susceptibles d’influer sur l’examen de la question de savoir si le renvoi du recourant est licite, possible et raisonnablement exigible.</w:t>
      </w:r>
    </w:p>
    <w:p>
      <w:r>
        <w:t>Au vu de ce qui précède, l’OCPM a, à juste titre, refusé d’entrer en matière sur la demande de reconsidération.</w:t>
      </w:r>
    </w:p>
    <w:p>
      <w:r>
        <w:t>Mal fondé, le recours sera ainsi rejeté. 5)</w:t>
      </w:r>
    </w:p>
    <w:p>
      <w:r>
        <w:t>Vu l’issue du litige, un émolument de CHF 400.- sera mis à la charge du recourant, qui ne peut se voir allouer une indemnité de procédure (art. 87 LPA).</w:t>
      </w:r>
    </w:p>
    <w:p>
      <w:r>
        <w:t>* * * * *</w:t>
      </w:r>
    </w:p>
    <w:p>
      <w:r>
        <w:t>- 14/16 - A/536/2019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