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ATA/161/2009 vom 28. April 2007</w:t>
      </w:r>
    </w:p>
    <w:p>
      <w:r>
        <w:t>GE Cour de justice, 2007-04-28, FR</w:t>
      </w:r>
    </w:p>
    <w:p>
      <w:r>
        <w:rPr>
          <w:b/>
        </w:rPr>
        <w:t xml:space="preserve">Quelle: </w:t>
      </w:r>
      <w:r>
        <w:t>https://mcp.opencaselaw.ch/entscheid/ge_gerichte_ATA_161_2009</w:t>
      </w:r>
    </w:p>
    <w:p>
      <w:r>
        <w:t>FR: GE_GERICHTE ATA/161/2009 du 28 avril 2007</w:t>
      </w:r>
    </w:p>
    <w:p>
      <w:r>
        <w:t>IT: GE_GERICHTE ATA/161/2009 del 28 aprile 2007</w:t>
      </w:r>
    </w:p>
    <w:p>
      <w:pPr>
        <w:pStyle w:val="Heading2"/>
      </w:pPr>
      <w:r>
        <w:t>Erwägungen</w:t>
      </w:r>
    </w:p>
    <w:p>
      <w:r>
        <w:rPr>
          <w:b/>
        </w:rPr>
        <w:t>E. 9</w:t>
      </w:r>
    </w:p>
    <w:p>
      <w:r>
        <w:t>Mal fondé, le recours ne peut qu’être rejeté.</w:t>
      </w:r>
    </w:p>
    <w:p>
      <w:r>
        <w:t>Vu l’issue du litige, un émolument de CHF 300.- sera mis à la charge de la recourante qui succombe et qui n’allègue pas être exemptée du paiement des taxes universitaires (art. 10 du règlement sur les frais, émoluments et indemnités en procédure administrative du 7 janvier 2009 - RFPA - E 5 10.03).</w:t>
      </w:r>
    </w:p>
    <w:p>
      <w:r>
        <w:t>* * * * *</w:t>
      </w:r>
    </w:p>
    <w:p>
      <w:r>
        <w:t>- 8/9 - A/7/2009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