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ATA/1616/2017 vom 18. Dezember 2017</w:t>
      </w:r>
    </w:p>
    <w:p>
      <w:r>
        <w:t>GE Cour de justice, 2017-12-18, FR</w:t>
      </w:r>
    </w:p>
    <w:p>
      <w:r>
        <w:rPr>
          <w:b/>
        </w:rPr>
        <w:t xml:space="preserve">Quelle: </w:t>
      </w:r>
      <w:r>
        <w:t>https://mcp.opencaselaw.ch/entscheid/ge_gerichte_ATA_1616_2017</w:t>
      </w:r>
    </w:p>
    <w:p>
      <w:r>
        <w:t>FR: GE_GERICHTE ATA/1616/2017 du 18 décembre 2017</w:t>
      </w:r>
    </w:p>
    <w:p>
      <w:r>
        <w:t>IT: GE_GERICHTE ATA/1616/2017 del 18 dicembre 2017</w:t>
      </w:r>
    </w:p>
    <w:p>
      <w:pPr>
        <w:pStyle w:val="Heading2"/>
      </w:pPr>
      <w:r>
        <w:t>Erwägungen</w:t>
      </w:r>
    </w:p>
    <w:p>
      <w:r>
        <w:rPr>
          <w:b/>
        </w:rPr>
        <w:t>E. 12</w:t>
      </w:r>
    </w:p>
    <w:p>
      <w:r>
        <w:t>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w:t>
      </w:r>
    </w:p>
    <w:p>
      <w:r>
        <w:t>- 3/6 - A/4803/2017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ATA/376/2017 du 3 avril 2017 ; ATA/960/2016 du</w:t>
      </w:r>
    </w:p>
    <w:p>
      <w:r>
        <w:rPr>
          <w:b/>
        </w:rPr>
        <w:t>E. 14</w:t>
      </w:r>
    </w:p>
    <w:p>
      <w:r>
        <w:t>novembre 2016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ATA/376/2017 précité ; ATA/257/2014 du 14 avril 2014 ; ATA/28/2014 du</w:t>
      </w:r>
    </w:p>
    <w:p>
      <w:r>
        <w:rPr>
          <w:b/>
        </w:rPr>
        <w:t>E. 15</w:t>
      </w:r>
    </w:p>
    <w:p>
      <w:r>
        <w:t>janvier 2014 ; ATA/15/2013 du 8 janvier 2013 ; ATA/84/2009 du 9 avril 2009 ; Philippe WEISSENBERG/Astrid HIRZEL, Der suspensiveffekt und andere vorsorgliche Massnahme, in Irène HAENER/Bernhard WALDMANN, Brennpunkte im Verwaltungsprozess, Fribourg 2013, p. 166 ; Ulrich HÄFELIN/ Georg MÜLLER/Felix UHLMANN, Allgemeines Verwaltungsrecht, 2016 n. 1166 ; Pierre MOOR/Étienne POLTIER, Droit administratif, vol. 2, 3ème éd., 2011, p. 814 n. 5.8.3.3).</w:t>
      </w:r>
    </w:p>
    <w:p>
      <w:r>
        <w:t>Lorsqu’une décision à contenu négatif est portée devant la chambre administrative et que le destinataire de la décision sollicite la restitution de l’effet suspensif, il y a lieu de distinguer entre la situation de celui qui, lorsque la décision</w:t>
      </w:r>
    </w:p>
    <w:p>
      <w:r>
        <w:t>- 4/6 - A/4803/2017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à l’instar des cas que la PCTN a eu à traiter dans le cadre de la mise en œuvre de la loi sur la restauration, le débit de boissons, l’hébergement et le divertissement du 19 mars 2015 (LRDBHD - I 2 22), les décisions relatives aux situations transitoires entre la loi sur les taxis et limousines (transport professionnel de personnes au moyen de voitures automobiles) du 21 janvier 2005 (ci-après : LTaxis) et la LTVTC tendent essentiellement au maintien et au renouvellement, sous la nouvelle législation des autorisations et/ou permis d’exercer déjà existants sous l’ancienne loi (ATA/960/2016 du 14 novembre 2016 consid. 3).</w:t>
      </w:r>
    </w:p>
    <w:p>
      <w:r>
        <w:t>En effet, selon l’art. 46 al. 2 LTVTC – applicable à M. A______ selon le dossier – tout titulaire de la carte professionnelle de chauffeur de taxi exploitant un taxi privé en qualité d’indépendant ou travaillant comme employé ou fermier d’un titulaire d’une autorisation d’exploiter un taxi ou une entreprise de taxis de service public au sens de l’ancienne législation, délivrée avant le 1er juin 2015 et exerçant effectivement sa profession, peut demander une AUADP dans les six mois suivant l’entrée en vigueur de la LTVTC (art. 46 al. 2 LTVTC).</w:t>
      </w:r>
    </w:p>
    <w:p>
      <w:r>
        <w:t>M. A______ a sollicité une AUADP dans le délai de six mois dès l’entrée en vigueur, le 1er juillet 2017, de la LTVTC. Cette autorisation lui a été refusée. À cet égard, le recours ne peut pas être considéré d’emblée comme manifestement mal fondé, la question centrale du litige consistant à déterminer si les deux condamnations susmentionnées justifient un refus d’une AUADP nécessitant un examen approfondi en fait et en droit. 3)</w:t>
      </w:r>
    </w:p>
    <w:p>
      <w:r>
        <w:t>Le recours n’apparaît pas non plus d’entrée de cause dénué de chance de succès quant à l’objet pour lequel la restitution d’effet suspensif est sollicitée, à savoir le constat de caducité de plein droit l’autorisation d’exploiter. M. A______ a respecté le délai légal de dépôt de demande de l’AUADP et le refus de cette dernière n’est, en l’état, pas définitif. En outre, la disposition prévoyant le principe de la caducité des autorisations d’exploiter et ses exceptions, est de niveau réglementaire et non légal, de sorte qu’on ne peut exclure prima facie que sa portée doive être examinée au regard du principe de la légalité.</w:t>
      </w:r>
    </w:p>
    <w:p>
      <w:r>
        <w:t>- 5/6 - A/4803/2017 4)</w:t>
      </w:r>
    </w:p>
    <w:p>
      <w:r>
        <w:t>Au vu de ce qui précède, l’intérêt privé du recourant à la continuation de son activité professionnelle prime l’intérêt public à l’exécution immédiate de la décision querellée. L’exécution immédiate de la décision querellée serait susceptible d’avoir des effets négatifs importants sur la situation personnelle et financière du recourant qui pourraient, le cas échéant, ne pas être entièrement réparés s’il obtenait finalement gain de cause au fond.</w:t>
      </w:r>
    </w:p>
    <w:p>
      <w:r>
        <w:t>Dans ces circonstances, l’effet suspensif sera restitué au recours, en tant qu’il porte sur la caducité de l’autorisation d’exploiter en qualité d’indépendant un taxi de service privé, qui lui a été délivrée le 5 février 2007, de manière à maintenir la situation juridique prévalant avant le prononcé de la décision querellée. 5)</w:t>
      </w:r>
    </w:p>
    <w:p>
      <w:r>
        <w:t>Le sort des frais de la procédure sera réservé jusqu’à droit jugé au fond.</w:t>
      </w:r>
    </w:p>
    <w:p>
      <w:r>
        <w:t>vu l’art. 66 al. 3 de la loi sur la procédure administrative du 12 septembre 1985 ;</w:t>
      </w:r>
    </w:p>
    <w:p>
      <w:r>
        <w:t>vu l’art. 9 al. 1 du règlement de la chambre administrative du 26 septembre 2017 ;</w:t>
      </w:r>
    </w:p>
    <w:p>
      <w:r>
        <w:t>LA CHAMBRE ADMINISTRATIVE restitue partiellement l’effet suspensif au recours, en tant qu’il porte sur la caducité de l’autorisation d’exploiter en qualité d’indépendant un taxi de service privé, qui lui a été délivrée le 5 février 2007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Girod, avocat du recourant ainsi qu'au service de police du commerce et de lutte contre le travail au noir.</w:t>
      </w:r>
    </w:p>
    <w:p>
      <w:r>
        <w:t>La présidente :</w:t>
      </w:r>
    </w:p>
    <w:p>
      <w:r>
        <w:t>F. Payot Zen-Ruffinen</w:t>
      </w:r>
    </w:p>
    <w:p>
      <w:r>
        <w:t>- 6/6 - A/4803/2017</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