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ATA/160/2026 vom 10. Februar 2026</w:t>
      </w:r>
    </w:p>
    <w:p>
      <w:r>
        <w:t>GE Cour de justice, 2026-02-10, FR</w:t>
      </w:r>
    </w:p>
    <w:p>
      <w:r>
        <w:rPr>
          <w:b/>
        </w:rPr>
        <w:t xml:space="preserve">Quelle: </w:t>
      </w:r>
      <w:r>
        <w:t>https://mcp.opencaselaw.ch/entscheid/ge_gerichte_ATA_160_2026</w:t>
      </w:r>
    </w:p>
    <w:p>
      <w:r>
        <w:t>FR: GE_GERICHTE ATA/160/2026 du 10 février 2026</w:t>
      </w:r>
    </w:p>
    <w:p>
      <w:r>
        <w:t>IT: GE_GERICHTE ATA/160/2026 del 10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LPA).</w:t>
      </w:r>
    </w:p>
    <w:p>
      <w:r>
        <w:rPr>
          <w:b/>
        </w:rPr>
        <w:t>E. 2</w:t>
      </w:r>
    </w:p>
    <w:p>
      <w:r>
        <w:t>L’objet du litige est circonscrit au bien-fondé du refus de l’OCPM d’entrer en matière sur la nouvelle demande du recourant, traitée comme demande de reconsidération. Il convient donc d’examiner les conditions permettant d’entrer en matière sur une demande de reconsidération.</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(ATA/512/2024 précité consid. 3.2 ; ATA/651/2023 précité consid. 4.1 in fine).</w:t>
      </w:r>
    </w:p>
    <w:p>
      <w:r>
        <w:rPr>
          <w:b/>
        </w:rPr>
        <w:t>E. 2.2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TANQUEREL/Frédéric BERNARD, Manuel de droit administratif, 3e éd., 2025, n. 1417).</w:t>
      </w:r>
    </w:p>
    <w:p>
      <w:r>
        <w:t>- 7/10 - A/1490/2025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w:t>
      </w:r>
    </w:p>
    <w:p>
      <w:r>
        <w:rPr>
          <w:b/>
        </w:rPr>
        <w:t>E. 2.3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s'agit alors d'une nouvelle décision sur le fond, susceptible de recours. Le litige a alors pour objet la décision sur réexamen et non la décision initiale (arrêts du Tribunal fédéral 2C_319/2015 du 10 septembre 2015 consid. 3 ; 2C_406/2013 du 23 septembre 2013 consid. 4.1).</w:t>
      </w:r>
    </w:p>
    <w:p>
      <w:r>
        <w:rPr>
          <w:b/>
        </w:rPr>
        <w:t>E. 2.4</w:t>
      </w:r>
    </w:p>
    <w:p>
      <w:r>
        <w:t>Bien que l'écoulement du temps et la poursuite d'une intégration socioprofessionnelle constituent des modifications de circonstances, ces éléments ne peuvent pas être qualifiés de notables au sens de l'art. 48 al. 1 let. b LPA lorsqu'ils résultent uniquement du fait que l'étranger ne s'est pas conformé à une décision initiale malgré son entrée en force (ATA/998/2025 du 9 septembre 2025 consid. 3.4 ; ATA/115/2025 précité consid. 2.4 ; ATA/585/2024 précité consid. 3.1).</w:t>
      </w:r>
    </w:p>
    <w:p>
      <w:r>
        <w:rPr>
          <w:b/>
        </w:rPr>
        <w:t>E. 2.5</w:t>
      </w:r>
    </w:p>
    <w:p>
      <w:r>
        <w:t>En l'espèce, l’OCPM ayant déjà statué, le 14 avril 2023, sur la demande d’autorisation de séjour du recourant pour cas de rigueur, sa nouvelle demande visant également l’octroi d’une autorisation de séjour pour cas de rigueur constitue une demande de reconsidération. L’OCPM ayant refusé d’entrer en matière sur la demande de reconsidération, il convient uniquement d’examiner si les conditions d’une reconsidération sont réunies. Les faits nouveaux invoqués par le recourant sont l’aggravation de sa situation financière, un « sans-abrisme depuis 2020 », un stress sévère ainsi qu’une intégration, selon lui, désormais exceptionnelle. Or, l’augmentation de ses dettes, le fait qu’il soit sans abri et l’augmentation de sa détresse liée à sa situation financière et administrative sont le seul fruit de l’écoulement du temps, singulièrement du fait que le recourant ne s’est pas conformé à la décision de renvoi de l’OCPM. En outre, ses dettes, son « sans-abrisme », son stress et ses engagements civiques qu’il fait valoir ont déjà été invoqués dans la demande d’autorisation de séjour initiale. Il ne s’agit ainsi pas de faits nouveaux pouvant donner lieu à une reconsidération.</w:t>
      </w:r>
    </w:p>
    <w:p>
      <w:r>
        <w:t>- 8/10 - A/1490/2025 En outre, quand bien même il devrait être considéré qu’il s’agirait de faits nouveaux, ceux-ci ne seraient pas de nature à revenir sur la décision refusant l’octroi d’une autorisation de séjour pour cas de rigueur ; ils viendraient, au contraire, renforcer l’appréciation précédemment faite concernant l’absence d’intégration sociale et professionnelle exceptionnelle. Au vu de ce qui précède, l’OCPM était fondé, sans violer la loi ni abuser de son pouvoir d’appréciation, à refuser d’entrer en matière sur la demande de reconsidération. Mal fondé, le recours sera rejeté. Enfin, le recourant n’a nullement été privé d’exercer ses droits et d’accéder à la justice. En effet et comme il le relève, il a pu saisir d’un recours tant les juridictions cantonales que fédérales, ce dont d’ailleurs il se prévaut au titre d’une marque d’intégration exemplaire. Le TAPI n’a pas non plus violé son droit à l’assistance juridique, ayant retenu que l’émolument de CHF 500.- mis à sa charge était supporté par l’État, sous réserve du prononcé d’une décision finale d’octroi de l’assistance juridique. C’est également de manière infondée que le recourant se prévaut de l’art. 8 CEDH, son séjour en Suisse s’étant déroulé, depuis octobre 2017, dans l’illégalité et son intégration professionnelle faisant défaut – le recourant n’exerçant aucune activité professionnelle – et son intégration sociale ne pouvant être qualifiée de réussie, le recourant accusant d’importantes dettes et ne se conformant pas aux décisions rendues à son encontre. Le prononcé du présent arrêt rend sans objet la requête de restitution d’effet suspensif, étant relevé qu’une telle requête ne peut déployer d’effet rétroactif.</w:t>
      </w:r>
    </w:p>
    <w:p>
      <w:r>
        <w:rPr>
          <w:b/>
        </w:rPr>
        <w:t>E. 3</w:t>
      </w:r>
    </w:p>
    <w:p>
      <w:r>
        <w:t>Malgré l’issue du litige, il sera exceptionnellement renoncé à la perception d’un émolument. Aucune indemnité de procédure ne sera allouée, le recourant succombant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