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ATA/159/2021 vom 9. Februar 2021</w:t>
      </w:r>
    </w:p>
    <w:p>
      <w:r>
        <w:t>GE Cour de justice, 2021-02-09, FR</w:t>
      </w:r>
    </w:p>
    <w:p>
      <w:r>
        <w:rPr>
          <w:b/>
        </w:rPr>
        <w:t xml:space="preserve">Quelle: </w:t>
      </w:r>
      <w:r>
        <w:t>https://mcp.opencaselaw.ch/entscheid/ge_gerichte_ATA_159_2021</w:t>
      </w:r>
    </w:p>
    <w:p>
      <w:r>
        <w:t>FR: GE_GERICHTE ATA/159/2021 du 9 février 2021</w:t>
      </w:r>
    </w:p>
    <w:p>
      <w:r>
        <w:t>IT: GE_GERICHTE ATA/159/2021 del 9 febbraio 2021</w:t>
      </w:r>
    </w:p>
    <w:p>
      <w:pPr>
        <w:pStyle w:val="Heading2"/>
      </w:pPr>
      <w:r>
        <w:t>Erwägungen</w:t>
      </w:r>
    </w:p>
    <w:p>
      <w:r>
        <w:rPr>
          <w:b/>
        </w:rPr>
        <w:t>E. 12</w:t>
      </w:r>
    </w:p>
    <w:p>
      <w:r>
        <w:t>septembre 1985 - LPA - E 5 10). 2)</w:t>
      </w:r>
    </w:p>
    <w:p>
      <w:r>
        <w:t>Le recourant sollicite son audition.</w:t>
      </w:r>
    </w:p>
    <w:p>
      <w:r>
        <w:t>- 9/15 - A/3341/2019</w:t>
      </w:r>
    </w:p>
    <w:p>
      <w:r>
        <w:t>a. Le droit d'être entendu, tel qu'il est garanti par l'art. 29 al. 2 Cst.,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Le droit d'être entendu ne comprend pas le droit à une audition orale (ATF 140 I 285 consid. 6.3.1 ; arrêt du Tribunal fédéral 2D_51/2018 du 17 janvier 2019 consid. 4.1).</w:t>
      </w:r>
    </w:p>
    <w:p>
      <w:r>
        <w:t>b. En l’espèce, le recourant a pu s’expliquer dans son écriture de recours et sa réplique et produire les pièces qu’il estimait pertinentes. Par ailleurs, il n’indique pas pour quels motifs une audience serait nécessaire et quels éléments n’auraient pas pu être détaillés dans ses écritures. La chambre de céans est en possession d’un dossier complet et en état d’être jugé. Partant, il ne sera pas donné suite à la requête d’audition. 3)</w:t>
      </w:r>
    </w:p>
    <w:p>
      <w:r>
        <w:t>Le recourant sollicite la suspension de l’instruction jusqu’à droit jugé dans la procédure A/197/2020.</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En l’espèce, le sort de l’APA 5______, et donc de la procédure A/197/2020, est sans incidence sur l’issue du présent litige, lequel porte sur le bien-fondé d’une demande de remise en état et le prononcé d’une amende. De surcroît l’APA 5______ porte, selon son intitulé, sur une « construction d’un atelier /dépôt ; mur en limite ramené à 1 mètre ». Même à considérer qu’ils soient autorisables, il peut être fait application de l’art. 137 al. 2 LCI sans qu’il ne soit nécessaire de suspendre la présente procédure compte tenu de ce qui suit.</w:t>
      </w:r>
    </w:p>
    <w:p>
      <w:r>
        <w:t>La requête en suspension de la présente procédure sera dès lors rejetée. 4)</w:t>
      </w:r>
    </w:p>
    <w:p>
      <w:r>
        <w:t>Le recourant se plaint d’une violation de son droit d’être entendu au motif qu’il n’aurait pas pu comprendre l’objet de la décision à cause du comportement de l’autorité intimée.</w:t>
      </w:r>
    </w:p>
    <w:p>
      <w:r>
        <w:t>L’argumentation du recourant est confuse. Il ne peut se plaindre d’une violation de l’obligation de motivation, la décision querellée répondant aux obligations de motiver. Elle fait référence précisément aux travaux concernés. Elle mentionne que ceux-ci n’étaient pas autorisés par la seule autorisation alors en</w:t>
      </w:r>
    </w:p>
    <w:p>
      <w:r>
        <w:t>- 10/15 - A/3341/2019 vigueur soit la DD 2______. Pour le surplus, aucune disposition légale n’impose une décision de refus d’autoriser les travaux avant que le DT ne puisse ordonner la remise en état, conformément au considérant qui suit.</w:t>
      </w:r>
    </w:p>
    <w:p>
      <w:r>
        <w:t>Le grief n’est pas fondé. 5)</w:t>
      </w:r>
    </w:p>
    <w:p>
      <w:r>
        <w:t>Le recourant invoque une violation des art. 129 et 130 LCI au motif qu’il aurait dû pouvoir, dans un premier temps, faire valoir ses droits dans le cadre d’une procédure au fond relative à l’autorisation de construire et, une fois celle-ci définitive, contester un éventuel ordre de remise en état ultérieur.</w:t>
      </w:r>
    </w:p>
    <w:p>
      <w:r>
        <w:t>a. Dans les limites des dispositions de l’art. 130 LCI, le département peut notamment ordonner, à l’égard des constructions, des installations ou d’autres choses les mesures suivantes : la remise en état, la réparation, la modification, la suppression ou la démolition (art. 129 let. e LCI).</w:t>
      </w:r>
    </w:p>
    <w:p>
      <w:r>
        <w:t>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b.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w:t>
      </w:r>
    </w:p>
    <w:p>
      <w:r>
        <w:t>c. En l’espèce, les dispositions applicables n’imposent pas au DT de rendre une décision au fond préalablement à un ordre de remise en état. Le fait qu’une construction n’est pas conforme aux prescriptions de la LCI suffit pour l’application de l’art. 129 LCI.</w:t>
      </w:r>
    </w:p>
    <w:p>
      <w:r>
        <w:t>Or, comme l’a indiqué le DT dans ses courriers à l’intéressé, dès septembre 2017, il avait été saisi d’une plainte accompagnée d’un reportage photographique duquel il ressortait qu’un chantier avait été ouvert sans avoir été annoncé au département. Les travaux exécutés concernaient notamment la construction de murs en béton et d’un dallage dans l’angle nord-ouest et sud-ouest du terrain en limite avec la parcelle n° 7______. Les travaux précités ne correspondaient pas à l’autorisation de construire DD 2______ délivrée le 25 novembre 2015 et étaient susceptibles d’être assujettis à la LCI.</w:t>
      </w:r>
    </w:p>
    <w:p>
      <w:r>
        <w:t>De même, par courrier du 20 octobre 2017 et malgré les observations du propriétaire, le DT a persisté à considérer les travaux querellés comme non autorisés.</w:t>
      </w:r>
    </w:p>
    <w:p>
      <w:r>
        <w:t>- 11/15 - A/3341/2019</w:t>
      </w:r>
    </w:p>
    <w:p>
      <w:r>
        <w:t>Le recourant, ou son représentant, ne l’a d’ailleurs pas contesté puisque par pli du 5 octobre 2017, il indiquait avoir stoppé tous les travaux hors sol et ramené le niveau du sol à l’état antérieur. De même, il joignait « copie de ce qui pourrait être l’objet de la demande ».</w:t>
      </w:r>
    </w:p>
    <w:p>
      <w:r>
        <w:t>Il avait encore précisé, par pli du 30 octobre 2017, que les travaux de murets et de dallage autour de l’immeuble terminé auraient dû faire l’objet d’un complément, à l’instar de la future construction de moins de 50 m2 à l’angle de la propriété par étage des quatre voisins en direction des ______ et, enfin, que les travaux relatifs au parking et à son revêtement perméable et aux végétaux étaient en attente.</w:t>
      </w:r>
    </w:p>
    <w:p>
      <w:r>
        <w:t>En conséquence, le grief relatif à une violation, par le DT, des art. 129 et 130 LCI est infondé le fait que les travaux aient été entrepris sans être autorisés n’étant pas contesté. 6)</w:t>
      </w:r>
    </w:p>
    <w:p>
      <w:r>
        <w:t>Le recourant invoque une violation du principe de la proportionnalité.</w:t>
      </w:r>
    </w:p>
    <w:p>
      <w:r>
        <w:t>a.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b. Les critères de l’aptitude et de la subsidiarité sont particulièrement concernés lorsqu’un ordre de démolition pur et simple est envisagé. Ils impliquent en effet de déterminer si une - ou plusieurs - autre mesure administrative pourrait être préférée,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w:t>
      </w:r>
    </w:p>
    <w:p>
      <w:r>
        <w:t>- 12/15 - A/3341/2019</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c. En l’espèce, le recourant ne conteste pas avoir fait des travaux sur sa parcelle, sans y avoir été autorisé. La situation a été dénoncée en 2017. Depuis quatre ans, quatre demandes d’autorisations ont été déposées en procédure accélérée. Les objets des requêtes sont proches sans être similaires. De nombreuses procédures judiciaires sont en cours en lien avec ces autorisations. Enfin, même déposées en procédure accélérée, le suivi des demandes par les MPQ est lent, lorsqu’il intervient. Dans ces conditions, l’ordre de remise en état décidé en 2019, suite à une dénonciation faite en septembre 2017, apparaît nécessaire pour faire respecter la LCI. Il est apte à atteindre le but d’intérêt public poursuivi à savoir qu’aucune construction ne soit érigée sur le territoire sans avoir été autorisée, conformément à l’art. 1 LCI. Cette mesure est proportionnée au sens étroit, les dérogations à la règle n’étant pas mineures, s’agissant de construction localisés en zone inconstructible et sous mesures de protection patrimoniale selon la décision du DT, non contestée sur ce point par le recourant. Enfin, ce dernier ne peut se prévaloir de sa bonne foi et le coût de remise en état n’est pas pertinent au vu de la jurisprudence précitée.</w:t>
      </w:r>
    </w:p>
    <w:p>
      <w:r>
        <w:t>L’ordre de remise en état est proportionné. 7)</w:t>
      </w:r>
    </w:p>
    <w:p>
      <w:r>
        <w:t>Le recourant conteste le bien-fondé de l’amende.</w:t>
      </w:r>
    </w:p>
    <w:p>
      <w:r>
        <w:t>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w:t>
      </w:r>
    </w:p>
    <w:p>
      <w:r>
        <w:t>b. Les amendes administratives prévues par les législations cantonales sont de nature pénale, car aucun critère ne permet de les distinguer clairement des contraventions pour lesquelles la compétence administrative de première instance</w:t>
      </w:r>
    </w:p>
    <w:p>
      <w:r>
        <w:t>- 13/15 - A/3341/2019 peut au demeurant aussi exister. C'est dire que la quotité de la sanction administrative doit être fixée en tenant compte des principes généraux régissant le droit pénal (ATA/13/2020 du 7 janvier 2020 consid. 7b).</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t>d. En l’espèce, il est établi que des travaux ont été effectués sans être autorisés, ce que le recourant ne conteste pas.</w:t>
      </w:r>
    </w:p>
    <w:p>
      <w:r>
        <w:t>Le recourant ne peut tirer argument des manquements administratifs dans le suivi effectué par ses architectes. En effet, 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w:t>
      </w:r>
    </w:p>
    <w:p>
      <w:r>
        <w:t>Le principe de l’amende est en conséquence fondé. 8)</w:t>
      </w:r>
    </w:p>
    <w:p>
      <w:r>
        <w:t>Le recourant conclut à une réduction du montant de l’amende.</w:t>
      </w:r>
    </w:p>
    <w:p>
      <w:r>
        <w:t>a. S'agissant de la quotité de l'amende, la jurisprudence de la chambre de céans précise que le département jouit d'un large pouvoir d'appréciation pour en fixer le montant. La juridiction de céans ne la censure qu'en cas d'excès. Sont pris en</w:t>
      </w:r>
    </w:p>
    <w:p>
      <w:r>
        <w:t>- 14/15 - A/3341/2019 considération la nature, la gravité et la fréquence des infractions commises dans le respect du principe de la proportionnalité (ATA/13/2020 précité consid. 7d ; ATA/19/2018 du 9 janvier 2018 consid. 9d confirmé par arrêt du Tribunal fédéral 1C_80/2018 du 23 mai 2019 ; ATA/558/2013 du 27 août 2013 consid. 18).</w:t>
      </w:r>
    </w:p>
    <w:p>
      <w:r>
        <w:t>b. En l’espèce, le montant de l’amende a été fixé à CHF 3'000.-, soit dans le bas de la fourchette autorisée par la loi. Le recourant a par ailleurs admis savoir que des autorisations faisaient défaut. Les éléments retenus par le DT sont pertinents à savoir, la gravité tant objective que subjective de l’infraction commise, y compris du fait de sa localisation en zone inconstructible et sous mesures de protection patrimoniale. Compte tenu de ces circonstances, l’autorité intimée n’a pas abusé de son large pouvoir d’appréciation.</w:t>
      </w:r>
    </w:p>
    <w:p>
      <w:r>
        <w:t>Entièrement mal fondé, le recours sera rejeté. 9)</w:t>
      </w:r>
    </w:p>
    <w:p>
      <w:r>
        <w:t>Vu l'issue du litige, un émolument de CHF 1'000.-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