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ATA/1595/2017 vom 12. Dezember 2017</w:t>
      </w:r>
    </w:p>
    <w:p>
      <w:r>
        <w:t>GE Cour de justice, 2017-12-12, FR</w:t>
      </w:r>
    </w:p>
    <w:p>
      <w:r>
        <w:rPr>
          <w:b/>
        </w:rPr>
        <w:t xml:space="preserve">Quelle: </w:t>
      </w:r>
      <w:r>
        <w:t>https://mcp.opencaselaw.ch/entscheid/ge_gerichte_ATA_1595_2017</w:t>
      </w:r>
    </w:p>
    <w:p>
      <w:r>
        <w:t>FR: GE_GERICHTE ATA/1595/2017 du 12 décembre 2017</w:t>
      </w:r>
    </w:p>
    <w:p>
      <w:r>
        <w:t>IT: GE_GERICHTE ATA/1595/2017 del 12 dicembre 2017</w:t>
      </w:r>
    </w:p>
    <w:p>
      <w:pPr>
        <w:pStyle w:val="Heading2"/>
      </w:pPr>
      <w:r>
        <w:t>Erwägungen</w:t>
      </w:r>
    </w:p>
    <w:p>
      <w:r>
        <w:rPr>
          <w:b/>
        </w:rPr>
        <w:t>E. 22</w:t>
      </w:r>
    </w:p>
    <w:p>
      <w:r>
        <w:t>mars 2016 ; ATA/536/2010 du 5 août 2010).</w:t>
      </w:r>
    </w:p>
    <w:p>
      <w:r>
        <w:t>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 ATA/703/2016 du 23 août 2016 consid. 5 ; ATA/173/2016 du 23 février 2016). Celui-ci peut résulter d’une impossibilité objective ou subjective. L’empêchement doit être de nature telle que le respect des délais aurait impliqué la prise de dispositions que l’on ne peut raisonnablement attendre de la part d’une personne avisée (ATA/703/2016 précité consid. 5 ; ATA/397/2013 du 25 juin 2013 consid. 9).</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w:t>
      </w:r>
    </w:p>
    <w:p>
      <w:r>
        <w:t>- 5/7 - A/2743/2017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w:t>
      </w:r>
    </w:p>
    <w:p>
      <w:r>
        <w:t>c.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4)</w:t>
      </w:r>
    </w:p>
    <w:p>
      <w:r>
        <w:t>En l’espèce, le jugement querellé, rendu le 27 juillet 2017, a fait l’objet d’un avis de retrait déposé dans la boîte aux lettres de l’intéressé le 28 juillet 2017 avec délai pour retrait au 4 août 2017, soit sept jours après la première tentative infructueuse de distribution au sens de l’art. 62 al. 4 LPA. C’est à cette dernière date que le jugement du TAPI est réputé avoir été notifié au recourant.</w:t>
      </w:r>
    </w:p>
    <w:p>
      <w:r>
        <w:t>Le délai de trente jours a toutefois commencé à courir le 16 août 2017, vu la suspension des délais prévue par l’art. 63 al. 1 let b LPA.</w:t>
      </w:r>
    </w:p>
    <w:p>
      <w:r>
        <w:t>Partant, le recours, expédié le 7 novembre 2017 au greffe de la chambre administrative, est tardif. 5)</w:t>
      </w:r>
    </w:p>
    <w:p>
      <w:r>
        <w:t>Le recourant n’invoque pas un cas de force majeure au sens de l’art. 16 al. 1 2ème phr. LPA, même s’il fait état de graves problèmes de santé, d’un handicap ainsi que de difficultés au plan administratif. 6)</w:t>
      </w:r>
    </w:p>
    <w:p>
      <w:r>
        <w:t>Vu ce qui précède, quand bien même les souffrances et les difficultés dont a fait état le recourant sont importantes, le recours est manifestement irrecevable, ce</w:t>
      </w:r>
    </w:p>
    <w:p>
      <w:r>
        <w:t>- 6/7 - A/2743/2017 qu’il y a lieu de constater sans instruction préalable, conformément à l’art. 72 LPA. 7)</w:t>
      </w:r>
    </w:p>
    <w:p>
      <w:r>
        <w:t>Malgré l’issue du litige et compte tenu de l’ensemble des circonstances particulières, il ne sera pas mis d’émolument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