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ATA/1593/2017 vom 12. Dezember 2017</w:t>
      </w:r>
    </w:p>
    <w:p>
      <w:r>
        <w:t>GE Cour de justice, 2017-12-12, FR</w:t>
      </w:r>
    </w:p>
    <w:p>
      <w:r>
        <w:rPr>
          <w:b/>
        </w:rPr>
        <w:t xml:space="preserve">Quelle: </w:t>
      </w:r>
      <w:r>
        <w:t>https://mcp.opencaselaw.ch/entscheid/ge_gerichte_ATA_1593_2017</w:t>
      </w:r>
    </w:p>
    <w:p>
      <w:r>
        <w:t>FR: GE_GERICHTE ATA/1593/2017 du 12 décembre 2017</w:t>
      </w:r>
    </w:p>
    <w:p>
      <w:r>
        <w:t>IT: GE_GERICHTE ATA/1593/2017 del 12 dicembre 2017</w:t>
      </w:r>
    </w:p>
    <w:p>
      <w:pPr>
        <w:pStyle w:val="Heading2"/>
      </w:pPr>
      <w:r>
        <w:t>Erwägungen</w:t>
      </w:r>
    </w:p>
    <w:p>
      <w:r>
        <w:rPr>
          <w:b/>
        </w:rPr>
        <w:t>E. 26</w:t>
      </w:r>
    </w:p>
    <w:p>
      <w:r>
        <w:t>septembre 2010 - LOJ - E 2 05 ; art. 62 al. 1 let. a LPA). 2) a.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w:t>
      </w:r>
    </w:p>
    <w:p>
      <w:r>
        <w:t>b. Les cas de force majeure sont réservés, conformément à l’art. 16 al. 1 2ème phr. LPA.</w:t>
      </w:r>
    </w:p>
    <w:p>
      <w:r>
        <w:t>Tombent sous cette notion les événements extraordinaires et imprévisibles qui surviennent en dehors de la sphère d’activité de l’intéressé et qui s’imposent à lui de façon irrésistible (SJ 1999 I 119 ; RDAF 1991 p. 45 ; ATA/261/2016 du 22 mars 2016 ; ATA/536/2010 du 5 août 2010).</w:t>
      </w:r>
    </w:p>
    <w:p>
      <w:r>
        <w:t>c. Selon l'art. 16 al. 3 LPA,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w:t>
      </w:r>
    </w:p>
    <w:p>
      <w:r>
        <w:t>Comme cela ressort expressément du texte légal, cette disposition ne s'applique toutefois qu'aux délais fixés par l'autorité, et non aux délais légaux comme dans la présente espèce. 3) a. À teneur de l’art. 17 al. 1 LPA, les délais commencent à courir le lendemain de leur communication ou de l’événement qui les déclenche.</w:t>
      </w:r>
    </w:p>
    <w:p>
      <w:r>
        <w:t>Dans le cadre d’une procédure de recours, l’art. 62 al. 3 1ère phr. LPA prescrit que le délai court dès le lendemain de la notification de la décision.</w:t>
      </w:r>
    </w:p>
    <w:p>
      <w:r>
        <w:t>Le fardeau de la preuve de la notification d'un acte et de sa date incombe en principe à l'autorité qui entend en tirer une conséquence juridique (ATF 129 I 8 consid. 2.2 ; arrêt du Tribunal fédéral 1C_634/2015 du 26 avril 2016 consid. 2.1 ; Benoît BOVAY, Procédure administrative, 2ème éd., 2015, p. 529).</w:t>
      </w:r>
    </w:p>
    <w:p>
      <w:r>
        <w:t>- 4/8 - A/3991/2016</w:t>
      </w:r>
    </w:p>
    <w:p>
      <w:r>
        <w:t>Contrairement à ce que soutient le recourant, qui invoque l’art. 138 al. 1 du code de procédure civile du 19 décembre 2008 (CPC - RS 272), la législation genevoise applicable à la procédure administrative, plus précisément l’art. 46 al. 2 LPA, ne prescrit pas une forme particulière de notification des décisions et n’interdit ainsi nullement l’envoi d’une décision par pli simple ou par courrier A+ (ATF 142 III 599 consid. 2.4.1), l’autorité qui en est l’auteur devant simplement supporter le risque de l’absence de preuve de la date de notification (ATF 136 V 295 consid. 5.9 ; 129 I 8 consid. 2.2).</w:t>
      </w:r>
    </w:p>
    <w:p>
      <w:r>
        <w:t>b. La prestation « Courrier A Plus » – A+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aussi ATF 142 III 599 consid. 2.1).</w:t>
      </w:r>
    </w:p>
    <w:p>
      <w:r>
        <w:t>c.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ATA/509/2016 du 14 juin 2016 consid. 5b), à savoir dans sa boîte aux lettres ou sa case postale. Il n’est pas nécessaire que celui-ci en prenne réellement connaissance (ATF 142 III 599 consid. 2.4.1) ; il suffit qu’il puisse en prendre connaissance (arrêt du Tribunal fédéral 2C_430/2009 du 14 janvier 2010 consid. 2.2).</w:t>
      </w:r>
    </w:p>
    <w:p>
      <w:r>
        <w:t>Ainsi, lorsqu’une décision est notifiée par courrier A+,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8C_198/2015 du 30 avril 2015 consid. 3 ; 2C_570/2011, 2C_570/2011 du 24 janvier 2012 consid. 4.2 ; 2C_430/2009 précité consid. 2 ; ATA/222/2017 du 21 février 2017 consid. 4), y compris lorsque c’est un samedi (arrêt du Tribunal fédéral 8C_198/2015 précité consid. 3).</w:t>
      </w:r>
    </w:p>
    <w:p>
      <w:r>
        <w:t>- 5/8 - A/3991/2016</w:t>
      </w:r>
    </w:p>
    <w:p>
      <w:r>
        <w:t>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4)</w:t>
      </w:r>
    </w:p>
    <w:p>
      <w:r>
        <w:t>En l’espèce, à teneur du « Suivi des envois » en ligne, la décision du SCV du 17 octobre 2016, adressée au recourant par courrier A+, a été distribuée, c’est-à-dire remise dans sa boîte aux lettres « familiale », le lendemain soit le mardi 18 octobre 2016.</w:t>
      </w:r>
    </w:p>
    <w:p>
      <w:r>
        <w:t>L’intéressé ne fait pas valoir une erreur dans la notification de la décision du SCV.</w:t>
      </w:r>
    </w:p>
    <w:p>
      <w:r>
        <w:t>Au vu des principes juridiques énoncés ci-dessus, c’est dès le 19 octobre 2016 que le délai de recours de trente jours de l’art. 62 al. 1 let. a LPA a, conformément à l’art. 17 al. 1 LPA, commencé à courir.</w:t>
      </w:r>
    </w:p>
    <w:p>
      <w:r>
        <w:t>C’est de manière erronée que l’intéressé a indiqué, dans son recours interjeté devant le TAPI, que la décision du SCV lui avait été remise plusieurs jours après le 17 octobre 2016. La prise de connaissance de l’existence du courrier contenant cette décision est sans aucune portée. 5)</w:t>
      </w:r>
    </w:p>
    <w:p>
      <w:r>
        <w:t>En vertu de l’art. 62 al. 5 LPA, lorsqu’une personne à qui une décision devait être notifiée ne l’a pas reçue, sans sa faute, le délai de recours court du jour où cette personne a eu connaissance de la décision. 6) a. Le recourant se prévaut de cette dernière disposition légale en alléguant qu’il cohabite avec sa mère et son frère, ne relève pas son courrier lui-même et que ce dernier lui est remis par le biais de sa mère, ce qui pourrait prendre parfois plusieurs jours.</w:t>
      </w:r>
    </w:p>
    <w:p>
      <w:r>
        <w:t>À l’appui de ces allégations, il produit une attestation signée de sa mère, à teneur de laquelle celle-ci est la seule personne à détenir la clef de la boîte aux lettres au chemin B______ à C______ – sur laquelle est seulement inscrit son</w:t>
      </w:r>
    </w:p>
    <w:p>
      <w:r>
        <w:t>- 6/8 - A/3991/2016 nom selon photographie présentée par le recourant –, que ce dernier n’a pas une telle clef et que sa mère ne relève pas tous les jours le courrier, qu’il lui arrive de le relever une fois par semaine, voire encore moins souvent si elle est en déplacement, enfin que, même si elle a relevé le courrier, il se peut qu’elle le laisse en entier dans sa chambre et le donne à son fils quelques jours plus tard.</w:t>
      </w:r>
    </w:p>
    <w:p>
      <w:r>
        <w:t>b. Or,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1er mars 2010 consid. 3.2.1 et les références citées ; ATA/876/2014 du 11 novembre 2014 consid. 5).</w:t>
      </w:r>
    </w:p>
    <w:p>
      <w:r>
        <w:t>c. Dans ces conditions, il appartenait au recourant de prendre les mesures nécessaires pour qu’il puisse recevoir rapidement la décision du SCV, à la réception de laquelle il devait s’attendre puisque l’intimé lui avait donné le</w:t>
      </w:r>
    </w:p>
    <w:p>
      <w:r>
        <w:rPr>
          <w:b/>
        </w:rPr>
        <w:t>E. 27</w:t>
      </w:r>
    </w:p>
    <w:p>
      <w:r>
        <w:t>septembre 2016 un délai de quinze jours pour se déterminer sur l’éventualité du prononcé d’une mesure administrative à son encontre et qu’il y avait répondu par lettre du 10 octobre 2017.</w:t>
      </w:r>
    </w:p>
    <w:p>
      <w:r>
        <w:t>Il pouvait, cas échéant, par exemple, confier à sa mère la gestion des courriers de nature administrative, en particulier ceux provenant de l’intimé, qu’il recevrait.</w:t>
      </w:r>
    </w:p>
    <w:p>
      <w:r>
        <w:t>Il est enfin relevé que l’intéressé s’est adressé, de manière constante, au SCV, au TAPI et à la chambre de céans en indiquant le domicile auquel la décision de l’intimé du 17 octobre 2016 lui a été notifiée.</w:t>
      </w:r>
    </w:p>
    <w:p>
      <w:r>
        <w:t>L’art. 62 al. 5 LPA n’est donc d’aucun secours au recourant. 7)</w:t>
      </w:r>
    </w:p>
    <w:p>
      <w:r>
        <w:t>Ladite décision du SCV ayant été notifiée au recourant de manière en tous points conforme au droit, sa notification ne saurait être considérée comme irrégulière au sens de l’art. 47 LPA. 8)</w:t>
      </w:r>
    </w:p>
    <w:p>
      <w:r>
        <w:t>Vu ce qui précède, c’est à juste titre que le TAPI a déclaré irrecevable le recours formé devant lui le 21 novembre 2016 par l’intéressé, de sorte que le recours formé par celui-ci devant la chambre administrative sera rejeté. 9)</w:t>
      </w:r>
    </w:p>
    <w:p>
      <w:r>
        <w:t>Vu l’issue du litige, un émolument de CHF 350.- sera mis à la charge du recourant (art. 87 al. 1 LPA) et aucune indemnité de procédure ne lui sera allouée (art. 87 al. 2 LPA). * * * * *</w:t>
      </w:r>
    </w:p>
    <w:p>
      <w:r>
        <w:t>- 7/8 - A/3991/2016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