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ATA/1591/2017 vom 12. Dezember 2017</w:t>
      </w:r>
    </w:p>
    <w:p>
      <w:r>
        <w:t>GE Cour de justice, 2017-12-12, FR</w:t>
      </w:r>
    </w:p>
    <w:p>
      <w:r>
        <w:rPr>
          <w:b/>
        </w:rPr>
        <w:t xml:space="preserve">Quelle: </w:t>
      </w:r>
      <w:r>
        <w:t>https://mcp.opencaselaw.ch/entscheid/ge_gerichte_ATA_1591_2017</w:t>
      </w:r>
    </w:p>
    <w:p>
      <w:r>
        <w:t>FR: GE_GERICHTE ATA/1591/2017 du 12 décembre 2017</w:t>
      </w:r>
    </w:p>
    <w:p>
      <w:r>
        <w:t>IT: GE_GERICHTE ATA/1591/2017 del 12 dicembre 2017</w:t>
      </w:r>
    </w:p>
    <w:p>
      <w:pPr>
        <w:pStyle w:val="Heading2"/>
      </w:pPr>
      <w:r>
        <w:t>Erwägungen</w:t>
      </w:r>
    </w:p>
    <w:p>
      <w:r>
        <w:rPr>
          <w:b/>
        </w:rPr>
        <w:t>E. 12</w:t>
      </w:r>
    </w:p>
    <w:p>
      <w:r>
        <w:t>septembre 1985 - LPA - E 5 10). 2)</w:t>
      </w:r>
    </w:p>
    <w:p>
      <w:r>
        <w:t>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w:t>
      </w:r>
    </w:p>
    <w:p>
      <w:r>
        <w:t>- 3/5 - A/4361/2017 l'apparence de la décision. La nullité renverse ainsi la présomption de validité des décisions formellement en force.</w:t>
      </w:r>
    </w:p>
    <w:p>
      <w:r>
        <w:t>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sont des motifs de nullité (ATF 132 II 21 consid. 3.1 ; arrêt du Tribunal fédéral 1C_270/2011 du 29 août 2011 consid. 5.1 ; ATA/1221/2017 du 22 août 2017 consid. 2). La nullité d'une décision peut être constatée en tout temps et d'office par n'importe quelle autorité, y compris en instance de recours (ATF 136 II 415 consid. 1.2 ; 132 II 342 consid. 2.1). En cas de constat de nullité, le recours n'a pas ou plus d'objet, ce qui conduit en principe à son irrecevabilité (ATF 136 II 415 consid. 1.2). 3) a. Les décisions sont des mesures individuelles et concrètes prises par l’autorité dans les cas d’espèce fondées sur le droit public fédéral, cantonal et communal (art. 4 al. 1 LPA).</w:t>
      </w:r>
    </w:p>
    <w:p>
      <w:r>
        <w:t>Elles doivent être désignées comme telles, motivées et signées, et indiquer les voies et délais de recours. En cas de communication électronique au sens de l’article 18A LPA, une signature manuscrite n’est pas exigée (art. 46 al. 1 LPA). Une notification irrégulière ne peut entraîner aucun préjudice pour les parties (art. 47 LPA).</w:t>
      </w:r>
    </w:p>
    <w:p>
      <w:r>
        <w:t>b. La communication électronique entre les parties, les tiers et les autorités est admise (art. 18A al. 1 LPA) dans les domaines où le Conseil d’État l’a autorisée par voie réglementaire (art. 18A al. 4 LPA) pour autant qu’elle respecte les principes de la sécurité des communications, de la coordination avec les normes édictées par la Confédération et de la protection de la bonne foi (art. 18A al. 2 LPA).</w:t>
      </w:r>
    </w:p>
    <w:p>
      <w:r>
        <w:t>Le règlement sur la communication électronique du 3 février 2010 (RCEL - E 5 10.05) autorise l’usage de ce mode de communication pour certaines prestations de droit fiscal, du service de la législation et pour certaines autorisations de manifestations et de commerce, mais pas dans le domaine de la fixation des classes salariales. 4)</w:t>
      </w:r>
    </w:p>
    <w:p>
      <w:r>
        <w:t>En l'espèce, la « décision » n’a pas été notifiée en la forme écrite, qui présuppose en principe la signature olographe (ATA/1221/2017 précité consid. 3), mais par courrier électronique, dont l’utilisation n’est pas autorisée.</w:t>
      </w:r>
    </w:p>
    <w:p>
      <w:r>
        <w:t>- 4/5 - A/4361/2017</w:t>
      </w:r>
    </w:p>
    <w:p>
      <w:r>
        <w:t>Elle est de ce seul fait si profondément viciée que sa nullité ne peut qu'être constatée par la chambre de céans.</w:t>
      </w:r>
    </w:p>
    <w:p>
      <w:r>
        <w:t>Au vu de ce qui précède et conformément à la jurisprudence constante de la chambre de céans, la nullité de la « décision » rendue le 2 octobre 2017 par les EPI sera constatée, et le recours sera déclaré irrecevable. 5)</w:t>
      </w:r>
    </w:p>
    <w:p>
      <w:r>
        <w:t>Compte tenu des circonstances particulières du cas d’espèce, il ne sera pas perçu d'émolument (art. 87 al. 1 LPA),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