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ATA/158/2018 vom 20. Februar 2018</w:t>
      </w:r>
    </w:p>
    <w:p>
      <w:r>
        <w:t>GE Cour de justice, 2018-02-20, FR</w:t>
      </w:r>
    </w:p>
    <w:p>
      <w:r>
        <w:rPr>
          <w:b/>
        </w:rPr>
        <w:t xml:space="preserve">Quelle: </w:t>
      </w:r>
      <w:r>
        <w:t>https://mcp.opencaselaw.ch/entscheid/ge_gerichte_ATA_158_2018</w:t>
      </w:r>
    </w:p>
    <w:p>
      <w:r>
        <w:t>FR: GE_GERICHTE ATA/158/2018 du 20 février 2018</w:t>
      </w:r>
    </w:p>
    <w:p>
      <w:r>
        <w:t>IT: GE_GERICHTE ATA/158/2018 del 20 febbraio 2018</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(ATA/62/2018 du 23 janvier 2018 consid. 2a ; ATA/1218/2015 du 10 novembre 2015).</w:t>
      </w:r>
    </w:p>
    <w:p>
      <w:r>
        <w:t>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 déclaré irrecevable (ATF 123 II 285 consid. 4 ; 118 Ia 46 consid. 3c). S’il s’éteint pendant la procédure, le recours, devenu sans objet, doit être simplement radié du rôle (ATF 139 I 206 consid. 1.1 ; 125 V 373 consid. 1).</w:t>
      </w:r>
    </w:p>
    <w:p>
      <w:r>
        <w:t>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 1a), le recourant a payé sans émettre aucune réserve la somme d’argent fixée par la décision litigieuse (ATF 106 Ia 151 consid. 1b ; 99 V 78 consid. b) ou</w:t>
      </w:r>
    </w:p>
    <w:p>
      <w:r>
        <w:t>- 6/8 - A/1417/2016 encore, en cas de recours concernant une décision personnalissime, lorsque le décès du recourant survient pendant l’instance (ATF 113 Ia 351 consid. 1). La chambre de céans a également jugé récemment que le recours en vue d'obtenir une autorisation de séjour temporaire en vue de mariage devenait sans objet lorsque l'un des fiancés se désengageait et que le mariage devenait ainsi inenvisageable (ATA/62/2018 précité). 3)</w:t>
      </w:r>
    </w:p>
    <w:p>
      <w:r>
        <w:t>En l’espèce, la demande initiale, de même que le recours par-devant la chambre de céans, porte sur la prolongation de l'autorisation de séjour pour études du recourant en vue de l'obtention de son diplôme de pharmacien. Or il a obtenu ledit diplôme en octobre 2017, si bien qu'il ne dispose plus d'aucun intérêt actuel à voir le jugement entrepris annulé en ce qui concerne l’autorisation de séjour pour études, étant précisé que le renvoi n’est qu’un corollaire de la non-prolongation de celle-ci.</w:t>
      </w:r>
    </w:p>
    <w:p>
      <w:r>
        <w:t>En outre, les conditions pour faire exceptionnellement abstraction de l'intérêt actuel ne sont pas réunies, rien n'indiquant que le même problème puisse se reproduire en ce qui concerne le recourant. 4)</w:t>
      </w:r>
    </w:p>
    <w:p>
      <w:r>
        <w:t>Le recours est par conséquent sans objet, la question de l'éventuelle obtention d'une autorisation de séjour avec activité lucrative étant distincte de celle soumise à la chambre de céans ; elle obéit du reste à une procédure différente (art. 2 al. 2 de la loi d'application de la loi fédérale sur les étrangers, du 16 juin 1988 - LaLEtr - F 2 10 ; ATA/35/2018 du 16 janvier 2018 consid. 3 ss).</w:t>
      </w:r>
    </w:p>
    <w:p>
      <w:r>
        <w:t>La cause sera rayée du rôle. 5)</w:t>
      </w:r>
    </w:p>
    <w:p>
      <w:r>
        <w:t>Vu l’issue du recours, un émolument de CHF 400.- sera mis à la charge du recourant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