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ATA/157/2021 vom 9. Februar 2021</w:t>
      </w:r>
    </w:p>
    <w:p>
      <w:r>
        <w:t>GE Cour de justice, 2021-02-09, FR</w:t>
      </w:r>
    </w:p>
    <w:p>
      <w:r>
        <w:rPr>
          <w:b/>
        </w:rPr>
        <w:t xml:space="preserve">Quelle: </w:t>
      </w:r>
      <w:r>
        <w:t>https://mcp.opencaselaw.ch/entscheid/ge_gerichte_ATA_157_2021</w:t>
      </w:r>
    </w:p>
    <w:p>
      <w:r>
        <w:t>FR: GE_GERICHTE ATA/157/2021 du 9 février 2021</w:t>
      </w:r>
    </w:p>
    <w:p>
      <w:r>
        <w:t>IT: GE_GERICHTE ATA/157/2021 del 9 febbraio 2021</w:t>
      </w:r>
    </w:p>
    <w:p>
      <w:pPr>
        <w:pStyle w:val="Heading2"/>
      </w:pPr>
      <w:r>
        <w:t>Erwägungen</w:t>
      </w:r>
    </w:p>
    <w:p>
      <w:r>
        <w:rPr>
          <w:b/>
        </w:rPr>
        <w:t>E. 26</w:t>
      </w:r>
    </w:p>
    <w:p>
      <w:r>
        <w:t>juin 2018 consid. 3c).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ATA/663/2018 précité consid. 3d ; ATA/351/2018 du 17 avril 2018 consid. 2c).</w:t>
      </w:r>
    </w:p>
    <w:p>
      <w:r>
        <w:t>b. 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de la Constitution fédérale de la Confédération suisse du 18 avril 1999 (Cst. - RS 101)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ATA/548/2017 du 16 mai 2017 consid. 2b).</w:t>
      </w:r>
    </w:p>
    <w:p>
      <w:r>
        <w:t>c. Dans une affaire dans laquelle le requérant recourait contre le refus opposé par l’autorité intimée de reprendre l’instruction de sa demande en délivrance d’une autorisation d’usage accru du domaine public en application de la loi sur les taxis et les voitures de transport avec chauffeur du 13 octobre 2016 (LTVTC - H 1 31), suspendue dans l’attente de l’issue de la procédure pénale à</w:t>
      </w:r>
    </w:p>
    <w:p>
      <w:r>
        <w:t>- 7/9 - A/2110/2019 son encontre, la chambre administrative a admis l’existence d’un préjudice irréparable : la décision avait pour effet de priver le recourant, qui avait été autorisé dès 2013 à exploiter en qualité d’indépendant un taxi de service privé, de son emploi de chauffeur de taxi et donc de sa source de revenus (ATA/646/2018 précité consid. 2b). 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 5)</w:t>
      </w:r>
    </w:p>
    <w:p>
      <w:r>
        <w:t>En l’espèce, la suspension de l’instruction a été ordonnée à la demande du DT et avec l’appui de la ville dans l’attente d’un rapport d’experts commandé par l’OFEV. Le rapport a par la suite été publié et l’instruction a été reprise sur demande de Swisscom. La ville et le DT s’opposent à la reprise de l’instruction au motif que le rapport ne serait pas concluant, et qu’il faudrait attendre la mise en place par le DETEC des mesures ordonnées par le Conseil fédéral suite au rapport, au nom du principe de précaution.</w:t>
      </w:r>
    </w:p>
    <w:p>
      <w:r>
        <w:t>a. La ville et le DT n’exposent pas en quoi la reprise de l’instruction devant le TAPI les exposerait à un préjudice irréparable.</w:t>
      </w:r>
    </w:p>
    <w:p>
      <w:r>
        <w:t>Le fond du litige n’est pas encore tranché, et rien ne permet de conclure que le reprise de l’instruction causera à la ville, ou encore aux élèves ou aux habitants à proximité de l’installation concernée, un préjudice irréparable.</w:t>
      </w:r>
    </w:p>
    <w:p>
      <w:r>
        <w:t>Au contraire, la reprise de l’instruction doit précisément permettre aux parties de discuter les conclusions du rapport dont elles attendaient la parution, soit en premier lieu leur pertinence pour la solution au fond du litige.</w:t>
      </w:r>
    </w:p>
    <w:p>
      <w:r>
        <w:t>La ville et le DT invoquent encore le principe de précaution.</w:t>
      </w:r>
    </w:p>
    <w:p>
      <w:r>
        <w:t>C’est toutefois dans le cadre de l’instruction que le principe de précaution pourra cas échéant être invoqué, et instruit, au vu de la réglementation et des connaissances actuelles, aux fins de déterminer si l’emplacement autorisé pour</w:t>
      </w:r>
    </w:p>
    <w:p>
      <w:r>
        <w:t>- 8/9 - A/2110/2019 l’installation de l’antenne serait susceptible de créer un danger qui ne serait cas échéant pas suffisamment pris en compte par la règlementation applicable.</w:t>
      </w:r>
    </w:p>
    <w:p>
      <w:r>
        <w:t>Maintenir la suspension de l’instruction sur la base du principe de précaution interdirait de discuter la portée et l’applicabilité de ce dernier aussi longtemps que l’état des connaissances ou de la réglementation ne serait pas jugé satisfaisant par une partie, et porterait accessoirement une atteinte au principe de célérité dont pourrait se plaindre la partie adverse.</w:t>
      </w:r>
    </w:p>
    <w:p>
      <w:r>
        <w:t>b. Compte tenu de ce qui précède, la seconde hypothèse de l’art. 57 le. c LPA n’entre pas non plus en ligne de compte.</w:t>
      </w:r>
    </w:p>
    <w:p>
      <w:r>
        <w:t>La décision que la chambre de céans est appelée à prendre n’est en aucun cas susceptible de mettre fin au litige sur le fond. En effet, si la chambre de céans décidait d’admettre le recours et de prolonger la suspension jusqu’à l’adoption par le DETEC des mesures ordonnées par le Conseil fédéral, l’instruction serait reprise par le TAPI à la survenance de cet événement et il lui resterait alors à déterminer si la délivrance de l’autorisation querellée était conforme à la loi, y compris sous l’angle éventuel du principe de précaution.</w:t>
      </w:r>
    </w:p>
    <w:p>
      <w:r>
        <w:t>Dans ces circonstances, le recours sera déclaré irrecevable. 6)</w:t>
      </w:r>
    </w:p>
    <w:p>
      <w:r>
        <w:t>Vu l'issue du litige, un émolument de CHF 500.- sera mis à la charge de la Ville de Genève (art. 87 al. 1 LPA). Aucune indemnité de procédure ne sera allouée à Swisscom (Suisse) SA qui n’indique pas avoir exposé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