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ATA/1578/2017 vom 7. Dezember 2017</w:t>
      </w:r>
    </w:p>
    <w:p>
      <w:r>
        <w:t>GE Cour de justice, 2017-12-07, FR</w:t>
      </w:r>
    </w:p>
    <w:p>
      <w:r>
        <w:rPr>
          <w:b/>
        </w:rPr>
        <w:t xml:space="preserve">Quelle: </w:t>
      </w:r>
      <w:r>
        <w:t>https://mcp.opencaselaw.ch/entscheid/ge_gerichte_ATA_1578_2017</w:t>
      </w:r>
    </w:p>
    <w:p>
      <w:r>
        <w:t>FR: GE_GERICHTE ATA/1578/2017 du 7 décembre 2017</w:t>
      </w:r>
    </w:p>
    <w:p>
      <w:r>
        <w:t>IT: GE_GERICHTE ATA/1578/2017 del 7 dicembre 2017</w:t>
      </w:r>
    </w:p>
    <w:p>
      <w:pPr>
        <w:pStyle w:val="Heading2"/>
      </w:pPr>
      <w:r>
        <w:t>Erwägungen</w:t>
      </w:r>
    </w:p>
    <w:p>
      <w:r>
        <w:rPr>
          <w:b/>
        </w:rPr>
        <w:t>E. 4</w:t>
      </w:r>
    </w:p>
    <w:p>
      <w:r>
        <w:t>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w:t>
      </w:r>
    </w:p>
    <w:p>
      <w:r>
        <w:t>- 5/9 - A/4535/2017 5)</w:t>
      </w:r>
    </w:p>
    <w:p>
      <w:r>
        <w:t>L’étranger qui a fait l’objet d'une décision de première instance de renvoi ou d'expulsion au sens de la LEtr ou d'une décision de première instance d'expulsion au sens des art. 66a ou 66abis du Code pénal suisse du 21 décembre 1937 (CP - RS 311.0) peut être mis en détention administrative s'il a été condamné pour crime (art. 75 al. 1 let. h et 76 al. 1 let. b ch. 1 LEtr), ou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Le juge de la détention, dans le contrôle de celle-ci, doit en principe seulement s'assurer qu'une décision de renvoi existe, sans avoir à vérifier la légalité de cette dernière (ATF 129 I 139 consid. 4.3.2 p. 149 ; arrêts du Tribunal fédéral 2C_173/2014 du 17 février 2014 consid. 3.1 ; 2C_1177/2013 du 17 janvier 2014). 6)</w:t>
      </w:r>
    </w:p>
    <w:p>
      <w:r>
        <w:t>Le recourant fait l’objet d’une décision de renvoi du 10 juillet 2013, définitive depuis le 22 juillet 2013, qu’il prétend avoir exécutée en se rendant en France dès le mois de mai 2017.</w:t>
      </w:r>
    </w:p>
    <w:p>
      <w:r>
        <w:t>L’art. 7 al. 1 LEtr prévoit que l’entrée et la sortie de Suisse sont régis par les accords d’association à Schengen énumérés dans l’annexe 1 de la LEtr. Selon l’art. 3 ch. 3 de la directive 2008/115/CE du Parlement européen et du Conseil du 16 décembre 2008 relative aux normes et procédures communes applicables dans les États membres au retour des ressortissants de pays tiers en séjour irrégulier, reprise par la Suisse dans le cadre du développement de l’acquis de Schengen (Directive sur le retour - RO 2010 5925), le « retour » est le fait, pour le ressortissant d’un pays tiers, de rentrer  que ce soit par obtempération volontaire à une obligation de retour ou en y étant forcé  dans son pays d’origine, ou un pays de transit conformément à des accords ou autres arrangements de réadmission communautaires ou bilatéraux, ou un autre pays tiers dans lequel le</w:t>
      </w:r>
    </w:p>
    <w:p>
      <w:r>
        <w:t>- 6/9 - A/4535/2017 ressortissant concerné d’un pays tiers décide de retourner volontairement et sur le territoire duquel il sera admis.</w:t>
      </w:r>
    </w:p>
    <w:p>
      <w:r>
        <w:t>En l’espèce, le recourant ne dispose d'aucun titre de séjour qui lui permettrait de se rendre légalement dans un autre État que son pays d'origine. Aucun document au dossier ne permet en particulier de prouver qu'il aurait le droit de séjour en France ; le recourant admet d'ailleurs ne pas disposer d'un tel droit. Bien au contraire, dès lors qu’il a déposé une demande d’asile, écartée, en Suisse, la Confédération helvétique serait obligée de le réadmettre, en vertu des accords d'association à Dublin (accord du 26 octobre 2004 entre la Confédération suisse et la Communauté européenne relatif aux critères et aux mécanismes permettant de déterminer l'État responsable de l'examen d'une demande d'asile introduite dans un État membre ou en Suisse - AAD - RS 0.142.392.68), s’il devait être interpellé par les autorités françaises dans ce pays.</w:t>
      </w:r>
    </w:p>
    <w:p>
      <w:r>
        <w:t>Le recourant fait ainsi encore l’objet, de la part du SEM, d’une décision fédérale de renvoi de Suisse, définitive, exécutoire et qui n’a pas été exécutée. La première condition posée par l'art. 76 al. 1 LEtr est ainsi réalisée. 7)</w:t>
      </w:r>
    </w:p>
    <w:p>
      <w:r>
        <w:t>Il ressort du dossier que, suite à la décision du SEM précitée, le recourant n'a entrepris aucune démarche en vue d’obtempérer à l’ordre de retourner dans son pays d’origine, seule solution dont il dispose pour quitter définitivement la Suisse. Il a concrétisé son opposition en disparaissant de son domicile genevois fin mai 2017 et en ne se présentant plus aux autorités compétentes depuis le mois de juillet 2017. Il a, de la sorte, manqué au devoir de collaboration que lui impose l'art. 90 let. a et c LEtr. Il a en outre par la suite régulièrement affirmé sa volonté de ne pas vouloir se rendre en Tunisie. 8)</w:t>
      </w:r>
    </w:p>
    <w:p>
      <w:r>
        <w:t>Le recourant a par ailleurs fait l’objet d’une condamnation pénale pour infraction à la LStup. Le fait que cette condamnation n’était pas définitive au moment de l’émission de l’ordre de mise en détention n’empêchait pas le commissaire de police de mettre l’intéressé en détention administrative, le motif de l’art. 75 al. 1 let. g LEtr, soit la menace grave pour l’intégrité corporelle de tiers pour laquelle une poursuite pénale est ouverte, étant réalisée. En effet, quand bien même le trafic a porté sur moins de 15 g d’héroïne, le fait que l’intéressé ait indiqué s’être procuré cette drogue peu après être revenu à Genève, en la dérobant dans la réserve d’un trafiquant kosovar pour la revendre, lui-même n’étant pas consommateur, démontre à tout le moins une bonne capacité d’adaptation au marché illicite local des stupéfiants qui ne permet pas de considérer cette infraction comme un accident de parcours mineur. Pour le surplus, le recourant n'a donné aucune indication sur la suite donnée à l'ordonnance pénale précitée, qu'il n'allègue d'ailleurs pas avoir contesté.</w:t>
      </w:r>
    </w:p>
    <w:p>
      <w:r>
        <w:t>- 7/9 - A/4535/2017 9)</w:t>
      </w:r>
    </w:p>
    <w:p>
      <w:r>
        <w:t>Dès lors, les conditions de mise en détention administrative au sens des art. 75 al. 1 let. g et 76 al. 1 let. b ch. 1 LEtr, ainsi qu'un risque de fuite ou de disparition au sens de l'art. 76 al. 1 let. b ch. 3 et 4 LEtr, sont remplies. 10)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À teneur de l’art. 76 al. 4 LEtr, les démarches nécessaires à l’exécution du renvoi ou de l’expulsion doivent être entreprises sans tarder.</w:t>
      </w:r>
    </w:p>
    <w:p>
      <w:r>
        <w:t>b. À teneur de l’art. 80 al. 6 let. a LEtr, la détention est levée si le motif de la détention n’existe plus ou si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LEtr, a fortiori). 11) En l’espèce, les considérations qui précèdent, et qui permettent de retenir que la détention administrative peut se fonder sur un risque de fuite, amènent également à retenir qu'aucune mesure moins incisive ne serait à même de faire en sorte que le recourant puisse être à disposition des autorités le jour de l'exécution de son renvoi.</w:t>
      </w:r>
    </w:p>
    <w:p>
      <w:r>
        <w:t>Les autorités ont entrepris les démarches nécessaires pour pouvoir faire en sorte que le recourant puisse prendre place le 12 décembre 2017 sur un vol de ligne à destination de la Tunisie, en étant muni d’un laissez-passer. Il n’appartient qu’à l’intéressé de faire en sorte que sa détention cesse à cette date, en embarquant, contrairement à ses déclarations d’intention. Il ne serait alors pas nécessaire d’organiser un vol spécial, que la durée de détention autorisée permet néanmoins d’anticiper compte tenu desdites déclarations.</w:t>
      </w:r>
    </w:p>
    <w:p>
      <w:r>
        <w:t>Enfin, aucun élément du dossier ne permet de retenir que l'exécution du renvoi ou de l'expulsion s'avèrerait impossible pour des raisons juridiques ou matérielles. 12) Au vu ce qui précède, le recours, infondé, sera rejeté.</w:t>
      </w:r>
    </w:p>
    <w:p>
      <w:r>
        <w:t>- 8/9 - A/4535/2017 13) Vu la nature du litige, il ne sera pas perçu d’émolument (art. 12 du règlement sur les frais, émoluments et indemnités en procédure administrative du 30 juillet 1986 - RFPA - E 5 10.03).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