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ATA/156/2018 vom 20. Februar 2018</w:t>
      </w:r>
    </w:p>
    <w:p>
      <w:r>
        <w:t>GE Cour de justice, 2018-02-20, FR</w:t>
      </w:r>
    </w:p>
    <w:p>
      <w:r>
        <w:rPr>
          <w:b/>
        </w:rPr>
        <w:t xml:space="preserve">Quelle: </w:t>
      </w:r>
      <w:r>
        <w:t>https://mcp.opencaselaw.ch/entscheid/ge_gerichte_ATA_156_2018</w:t>
      </w:r>
    </w:p>
    <w:p>
      <w:r>
        <w:t>FR: GE_GERICHTE ATA/156/2018 du 20 février 2018</w:t>
      </w:r>
    </w:p>
    <w:p>
      <w:r>
        <w:t>IT: GE_GERICHTE ATA/156/2018 del 20 febbraio 2018</w:t>
      </w:r>
    </w:p>
    <w:p>
      <w:pPr>
        <w:pStyle w:val="Heading2"/>
      </w:pPr>
      <w:r>
        <w:t>Erwägungen</w:t>
      </w:r>
    </w:p>
    <w:p>
      <w:r>
        <w:rPr>
          <w:b/>
        </w:rPr>
        <w:t>E. 26</w:t>
      </w:r>
    </w:p>
    <w:p>
      <w:r>
        <w:t>septembre 2010 - LOJ - E 2 05 ; art. 62 al. 1 let. a de la loi sur la procédure administrative du 12 septembre 1985 - LPA - E 5 10). 2)</w:t>
      </w:r>
    </w:p>
    <w:p>
      <w:r>
        <w:t>La sanction ayant déjà été exécutée, il convient d’examiner s’il subsiste un intérêt digne de protection à l’admission du recours (art. 60 let. b de la loi sur la procédure administrative du 12 septembre 1985 - LPA - E 5 10).</w:t>
      </w:r>
    </w:p>
    <w:p>
      <w:r>
        <w:t>- 4/8 - A/3950/2017</w:t>
      </w:r>
    </w:p>
    <w:p>
      <w:r>
        <w:t>Selon la jurisprudence du Tribunal fédéral, un intérêt digne de protection suppose un intérêt actuel à obtenir l’annulation de la décision attaquée (ATF 138 II 42 consid. 1 ; 137 I 23 consid 1.3 ; ATA/610/2017 du 30 mai 2017 ; ATA/308/2016 du 12 avril 2016 ; Jacques DUBEY/Jean-Baptiste ZUFFEREY, Droit administratif général, 2014, p. 734 n. 2084 ; Pierre MOOR/Etienne POLTIER, Droit administratif, vol. 2, 3ème éd., 2011, p. 748 n. 5.7.2.3 ; Thierry TANQUEREL, Manuel de droit administratif, 2011, p. 449 n. 1367).</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w:t>
      </w:r>
    </w:p>
    <w:p>
      <w:r>
        <w:t>En l’occurrence, le recourant dispose d’un intérêt digne de protection à recourir contre la sanction prononcée contre lui. La légalité de celle-ci doit pouvoir faire l’objet d’un contrôle en vertu de la jurisprudence du Tribunal fédéral précitée, nonobstant l’absence d’intérêt actuel, puisque cette sanction a déjà été exécutée. Cette situation pourrait se présenter à nouveau dès lors que rien dans le dossier ne laisse à penser que le détenu ait quitté l’établissement à ce jour (ATA/1135/2017 du 2 août 2017 consid. 5b ; ATA/288/2017 du 14 mars 2017 consid. 2 et la jurisprudence citée).</w:t>
      </w:r>
    </w:p>
    <w:p>
      <w:r>
        <w:t>Le recours est donc recevable à tous points de vue. 3) a.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w:t>
      </w:r>
    </w:p>
    <w:p>
      <w:r>
        <w:t>- 5/8 - A/3950/2017 la punissabilité de l’auteur (ATA/310/2017 du 21 mars 2017 consid. 5a ; ATA/245/2017 du 28 février 2017 consid. 5b et les références citées).</w:t>
      </w:r>
    </w:p>
    <w:p>
      <w:r>
        <w:t>c. La sanction doit être conforme au principe de la proportionnalité (ATA/499/2017 du 2 mai 2017 consid. 3c).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ATA/1159/2017 du 3 août 2017 consid. 7a). 4) a. Si une personne détenue enfreint le règlement de l'établissement de Curabilis du 19 mars 2014 (RCurabilis - F 1 50.15), une sanction proportionnée à sa faute, ainsi qu'à la nature et à la gravité de l'infraction, lui est infligée (art. 70 al. 1 RCurabilis). Il est tenu compte de l’état de santé de la personne détenue au moment de l’infraction disciplinaire (art. 70 al. 2 RCurabilis). Avant le prononcé de la sanction, la personne détenue doit être informée des faits qui lui sont reprochés et être entendue. Elle peut s'exprimer oralement ou par écrit (art. 70 al. 3 RCurabilis).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 art. 70 al. 4 RCurabilis). Ces sanctions peuvent être cumulées (art. 70 al. 5 RCurabilis). L’exécution de la sanction peut être prononcée avec un sursis ou un sursis partiel de six mois au maximum (art. 70 al. 6 RCurabilis).</w:t>
      </w:r>
    </w:p>
    <w:p>
      <w:r>
        <w:t>b. Le directeur de Curabilis et son suppléant en son absence sont compétents pour prononcer les sanctions (art. 71 al. 1 RCurabilis). Le directeur de Curabilis peut déléguer la compétence de prononcer les sanctions prévues à l'art. 70 al. 4 RCurabilis à d'autres membres du personnel gradé de l’établissement. Les modalités de la délégation sont prévues dans une directive interne. Le placement d'une personne détenue en cellule forte pour une durée supérieure à cinq jours est impérativement prononcé par le directeur de Curabilis ou, en son absence, par son suppléant ou un membre du conseil de direction chargé de la permanence (art. 71 al. 2 RCurabilis).</w:t>
      </w:r>
    </w:p>
    <w:p>
      <w:r>
        <w:t>c. La personne détenue a l'obligation de respecter les dispositions du RCurabilis, les directives du directeur général de l’office cantonal de la détention, du directeur de Curabilis, du personnel pénitentiaire ainsi que les instructions du personnel médico-soignant (art. 67 RCurabilis). La personne détenue doit</w:t>
      </w:r>
    </w:p>
    <w:p>
      <w:r>
        <w:t>- 6/8 - A/3950/2017 observer une attitude correcte à l'égard des différents personnels, des autres personnes détenues et des tiers (art. 68 RCurabilis). Sont en particulier interdits l’insubordination et les incivilités à l’encontre des personnels de Curabilis (art. 69 al. 1 let. b RCurabilis), les menaces dirigées contre, notamment, les différents personnels de Curabilis (art. 69 al. 1 let. c RCurabilis).</w:t>
      </w:r>
    </w:p>
    <w:p>
      <w:r>
        <w:t>d. De jurisprudence constante, la chambre administrative accorde généralement valeur probante aux constatations figurant dans un rapport de police, établi par des agents assermentés (ATA/73/2017 du 31 janvier 2017 consid. 7 et les références citées), sauf si des éléments permettent de s’en écarter. Dès lors que les agents de détention sont également des fonctionnaires assermentés (art. 19 de la loi sur l’organisation des établissements et le statut du personnel pénitentiaires du 3 novembre 2016 - LOPP - F 1 50), le même raisonnement peut être appliqué aux rapports établis par ces derniers (ATA/1410/2017 du 17 octobre 2017 consid. 4 ; ATA/1218/2017 du 22 août 2017). 5) a. En l’espèce, la sanction a été prise par un agent pénitentiaire ayant le grade de sous-chef auquel, à teneur de la décision entreprise, le directeur de Curabilis avait délégué la tâche de statuer. La sanction a été ainsi valablement prononcée par l’autorité compétente, ce qui n'est du reste pas contesté.</w:t>
      </w:r>
    </w:p>
    <w:p>
      <w:r>
        <w:t>b. Le recourant se plaint matériellement d'une constatation inexacte des faits pertinents au sens de l'art. 61 al. 1 let. b LPA. Il conteste avoir tenu des propos menaçants et produit deux attestations signées par quatre co-détenus, ceux-ci confirmant ne pas avoir entendu de menaces.</w:t>
      </w:r>
    </w:p>
    <w:p>
      <w:r>
        <w:t>La sanction repose sur le rapport successif d’un agent assermenté qui a protocolé les faits qui se sont déroulés. Conformément à la jurisprudence précitée, ce rapport a force probante.</w:t>
      </w:r>
    </w:p>
    <w:p>
      <w:r>
        <w:t>Les attestations produites par le détenu ne permettent pas de remettre en cause ce qui précède. L’intimé a fourni des précisions quant aux distances entre la cellule du recourant et les cellules des détenus ayant signé les attestations. Conformément à ce qu’indique le recourant, il est exact que les mètres mentionnés par l’autorité intimée ne sont qu’une évaluation et ne sont pas prouvés. Toutefois, le recourant ne conteste pas les chiffres avancés. En conséquence les témoignages des deux détenus situés, respectivement à l’étage et à 10 m doivent être écartés. La valeur probante des témoignages des personnes dont la cellule est située à 5 m n’est pas suffisante pour remettre en cause le rapport de l’agent assermenté compte tenu de la distance entre les « témoins » et le recourant. De surcroît, la production des deux témoignages de co-détenus qui n’ont rien pu entendre au vu du lieu où ils se trouvaient contribue à remettre en cause la crédibilité du contenu des pièces produites.</w:t>
      </w:r>
    </w:p>
    <w:p>
      <w:r>
        <w:t>- 7/8 - A/3950/2017</w:t>
      </w:r>
    </w:p>
    <w:p>
      <w:r>
        <w:t>Aucun élément ne remet en cause valablement la force probante du rapport de l’agent de détention.</w:t>
      </w:r>
    </w:p>
    <w:p>
      <w:r>
        <w:t>La sanction n’est pas arbitraire, quand bien même les propos tenus par le recourant sont à la limite de la punissabilité au vu de leur contenu.</w:t>
      </w:r>
    </w:p>
    <w:p>
      <w:r>
        <w:t>Le grief sera ainsi écarté. 6)</w:t>
      </w:r>
    </w:p>
    <w:p>
      <w:r>
        <w:t>À juste titre, l’autorité intimée relève que la sanction respecte le principe de la proportionnalité tout à la fois parce qu’elle se limite à un délai d’un mois sur un maximum de trois autorisés par la loi, qu’elle a été assortie d’un sursis de deux semaines et qu’elle porte sur une suppression qui n’est que partielle des loisirs, à savoir une limitation de l’accès et à l’utilisation des multimédias et non aux autres loisirs. De surcroît, le délai de deux mois d’épreuve ayant commencé à courir le 13 septembre 2017 et ayant pris fin le 13 novembre 2017 sans qu’il ne soit allégué que le recourant ait commis une nouvelle infraction au règlement, la limitation précitée a été effectivement subie pendant deux semaines. 7)</w:t>
      </w:r>
    </w:p>
    <w:p>
      <w:r>
        <w:t>Vu la nature du litige, aucun émolument ne sera perçu (art. 87 al. 1 LPA ; art. 12 al. 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