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ATA/156/2012 vom 20. März 2012</w:t>
      </w:r>
    </w:p>
    <w:p>
      <w:r>
        <w:t>GE Cour de justice, 2012-03-20, FR</w:t>
      </w:r>
    </w:p>
    <w:p>
      <w:r>
        <w:rPr>
          <w:b/>
        </w:rPr>
        <w:t xml:space="preserve">Quelle: </w:t>
      </w:r>
      <w:r>
        <w:t>https://mcp.opencaselaw.ch/entscheid/ge_gerichte_ATA_156_2012</w:t>
      </w:r>
    </w:p>
    <w:p>
      <w:r>
        <w:t>FR: GE_GERICHTE ATA/156/2012 du 20 mars 2012</w:t>
      </w:r>
    </w:p>
    <w:p>
      <w:r>
        <w:t>IT: GE_GERICHTE ATA/156/2012 del 20 marzo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Les art. 25 et ss de la loi sur la profession d’avocat du 26 avril 2002 (LPAv - E 6 10) définissent les conditions nécessaires à l'obtention du brevet d'avocat. En particulier, l'art. 25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w:t>
      </w:r>
    </w:p>
    <w:p>
      <w:r>
        <w:t>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w:t>
      </w:r>
    </w:p>
    <w:p>
      <w:r>
        <w:t>La procédure est au surplus régie par le règlement relatif à la procédure d'opposition au sein de l’Université de Genève (RIO-UNIGE), à l’exclusion de ses art. 28 et 29, et par les directives édictées par le conseil de direction (art. 25 al 3 RPAv).</w:t>
      </w:r>
    </w:p>
    <w:p>
      <w:r>
        <w:t>c. Le RE prévoit que la durée des études est en principe d’un semestre, une dérogation pouvant être accordée par le conseil de direction en présence de justes motifs, sur la base d'une demande écrite et motivée (art. 4 al. 1 et 2 RE).</w:t>
      </w:r>
    </w:p>
    <w:p>
      <w:r>
        <w:t>Les examens constituant une série ne peuvent être scindés et les étudiants doivent présenter la série au cours des deux sessions qui suivent immédiatement le semestre d'études, étant précisé que les dispositions de l’art. 4 al. 2 RE sont réservées (art. 6 al. 1 RE).</w:t>
      </w:r>
    </w:p>
    <w:p>
      <w:r>
        <w:t>- 7/9 - A/4119/2011</w:t>
      </w:r>
    </w:p>
    <w:p>
      <w:r>
        <w:t>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w:t>
      </w:r>
    </w:p>
    <w:p>
      <w:r>
        <w:rPr>
          <w:b/>
        </w:rPr>
        <w:t>E. 3</w:t>
      </w:r>
    </w:p>
    <w:p>
      <w:r>
        <w:t>La recourante soutient, en premier lieu, avoir formé une opposition concernant la série d'examens qu'elle a effectuée au mois de juin 2011. Elle ne peut être suivie sur ce point, dès lors que le courrier électronique qu’elle a adressé à l'autorité visait manifestement à émettre un certain nombre de remarques, mais ne contenait aucune conclusion et a été rédigé avant même qu'elle connaisse le résultat de ses examens. De plus, ce message électronique ne répondait à l'évidence pas aux exigences de forme contenues à l’art. 25 al. 2 RPAv. Au surplus, la communication électronique n’est pas autorisée dans le domaine concerné (art. 18A LPA ; art. 8 et ss du règlement sur la communication électronique du 3 février 2010 - RCEL - E 5 10.05).</w:t>
      </w:r>
    </w:p>
    <w:p>
      <w:r>
        <w:t>En conséquence, les griefs concernant la session d'examens du mois de juin 2011 seront déclarés irrecevables, la décision de l’ECAv du 5 juillet 2011 étant entrée en force, faute d'opposition.</w:t>
      </w:r>
    </w:p>
    <w:p>
      <w:r>
        <w:rPr>
          <w:b/>
        </w:rPr>
        <w:t>E. 4</w:t>
      </w:r>
    </w:p>
    <w:p>
      <w:r>
        <w:t>Mme M______ soutient ensuite que l’échec à la session du mois de septembre 2011 serait dû à des problèmes de santé.</w:t>
      </w:r>
    </w:p>
    <w:p>
      <w:r>
        <w:t>a. En matière universitaire et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citées).</w:t>
      </w:r>
    </w:p>
    <w:p>
      <w:r>
        <w:t>b. Selon la jurisprudence, des exceptions à ce principe permettant de prendre en compte un certificat médical présenté après que l’examen a été subi ne peuvent être admises que si cinq conditions sont cumulativement remplies (Arrêt du Tribunal administratif fédéral B-354/2009 du 24 septembre 2009 ainsi que les références citées ; ATA/424/2011 précité) : − la maladie n'apparaît qu'au moment de l'examen, sans qu'il n'ait été constaté de symptômes auparavant, le candidat à l'examen acceptant, dans le cas contraire, un risque de se présenter dans un état déficient, ce qui ne saurait justifier après l'annulation des résultats d'examen ; − aucun symptôme n'est visible durant l'examen ; − le candidat consulte un médecin immédiatement après l'examen ;</w:t>
      </w:r>
    </w:p>
    <w:p>
      <w:r>
        <w:t>- 8/9 - A/4119/2011 −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t>En l'espèce, il ne ressort pas des pièces produites par la recourante qu’elle ait consulté un médecin pendant ou immédiatement après les examens. Bien au contraire, l'ensemble des documents médicaux figurant à la procédure sont postérieurs à la décision prononcée le 1er novembre 2011 par le conseil de direction de l’ECAv. De plus, le médecin consulté n'a pas constaté l'existence d'une maladie grave et soudaine, mais bien d'un épuisement physique qui s’est manifesté progressivement.</w:t>
      </w:r>
    </w:p>
    <w:p>
      <w:r>
        <w:t>Partant, ce grief sera écarté.</w:t>
      </w:r>
    </w:p>
    <w:p>
      <w:r>
        <w:rPr>
          <w:b/>
        </w:rPr>
        <w:t>E. 5</w:t>
      </w:r>
    </w:p>
    <w:p>
      <w:r>
        <w:t>Mme M______ demande également qu’il soit tenu compte du fait que son activité professionnelle ne lui a pas laissé le temps nécessaire à la réussite de ses examens.</w:t>
      </w:r>
    </w:p>
    <w:p>
      <w:r>
        <w:t>De jurisprudence constante, le fait d’exercer une activité lucrative en sus des études ne constitue pas une circonstance exceptionnelle permettant d’obtenir le droit d’effectuer plus de tentatives que ne le prévoit le RE, ou des dérogations quant à la durée des études (ATA/45/2011 du 25 janvier 2011 et les références citées). Cette requête sera donc rejetée également.</w:t>
      </w:r>
    </w:p>
    <w:p>
      <w:r>
        <w:rPr>
          <w:b/>
        </w:rPr>
        <w:t>E. 6</w:t>
      </w:r>
    </w:p>
    <w:p>
      <w:r>
        <w:t>Enfin, la recourante soutient que le RE a été adopté tardivement, ne lui permettant pas de demander à bénéficier de la dérogation prévue à l'art. 4 al. 2 RE.</w:t>
      </w:r>
    </w:p>
    <w:p>
      <w:r>
        <w:t>Tel n’est pas le cas puisque le RE a été adopté, certes avec effet rétroactif, mais avant la session de juin 2011.</w:t>
      </w:r>
    </w:p>
    <w:p>
      <w:r>
        <w:t>Toutefois, cette disposition n'indique pas, contrairement à ce que semble dire la recourante, que la demande de dérogation doit impérativement être formée avant le début des études. Rien n'interdisait à l'intéressée de saisir le conseil de direction d'une telle demande, si elle s'y estimait fondée.</w:t>
      </w:r>
    </w:p>
    <w:p>
      <w:r>
        <w:t>Dès lors qu'elle ne l’a pas fait, ce grief ne peut qu'être rejeté.</w:t>
      </w:r>
    </w:p>
    <w:p>
      <w:r>
        <w:rPr>
          <w:b/>
        </w:rPr>
        <w:t>E. 7</w:t>
      </w:r>
    </w:p>
    <w:p>
      <w:r>
        <w:t>Au vu de ce qui précède, le recours sera rejeté, l’intéressée n’ayant jamais contesté les notes qui lui ont été attribuées. Un émolument de procédure de CHF 400.- sera mis à la charge de la recourante, qui succombe (art. 87 LPA). * * * * *</w:t>
      </w:r>
    </w:p>
    <w:p>
      <w:r>
        <w:t>- 9/9 - A/4119/2011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