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ATA/155/2011 vom 8. März 2011</w:t>
      </w:r>
    </w:p>
    <w:p>
      <w:r>
        <w:t>GE Cour de justice, 2011-03-08, FR</w:t>
      </w:r>
    </w:p>
    <w:p>
      <w:r>
        <w:rPr>
          <w:b/>
        </w:rPr>
        <w:t xml:space="preserve">Quelle: </w:t>
      </w:r>
      <w:r>
        <w:t>https://mcp.opencaselaw.ch/entscheid/ge_gerichte_ATA_155_2011</w:t>
      </w:r>
    </w:p>
    <w:p>
      <w:r>
        <w:t>FR: GE_GERICHTE ATA/155/2011 du 8 mars 2011</w:t>
      </w:r>
    </w:p>
    <w:p>
      <w:r>
        <w:t>IT: GE_GERICHTE ATA/155/2011 del 8 marzo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l’ancienne loi sur l’organisation judiciaire du 22 novembre 1941 - aLOJ ; art. 63 al. 1 let. a de la loi sur la procédure administrative du 12 septembre 1985 - LPA - E 5 10 - dans sa teneur au 31 décembre 2010).</w:t>
      </w:r>
    </w:p>
    <w:p>
      <w:r>
        <w:rPr>
          <w:b/>
        </w:rPr>
        <w:t>E. 3</w:t>
      </w:r>
    </w:p>
    <w:p>
      <w:r>
        <w:t>Selon l’art. 42 al. 1 de la loi fédérale sur les étrangers du 16 décembre 2005 (LEtr - RS 142.20),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w:t>
      </w:r>
    </w:p>
    <w:p>
      <w:r>
        <w:t>En l’espèce, le recourant ne cohabite plus avec son ex-épouse depuis le mois de juin 2007. La communauté familiale est définitivement rompue. En conséquence, il ne peut pas se prévaloir d’un droit à une autorisation de séjour fondée sur l’art. 42 al. 1 LEtr.</w:t>
      </w:r>
    </w:p>
    <w:p>
      <w:r>
        <w:rPr>
          <w:b/>
        </w:rPr>
        <w:t>E. 4</w:t>
      </w:r>
    </w:p>
    <w:p>
      <w:r>
        <w:t>L'intéressé fait valoir que la poursuite de son séjour s'impose en application de l’art. 8 CEDH ainsi que de la convention des Nations Unies du 20 novembre 1989 relative aux droits de l'enfant (CDE - RS 0.107).</w:t>
      </w:r>
    </w:p>
    <w:p>
      <w:r>
        <w:t>a. L'art. 8 par. 1 CEDH dispose que toute personne a droit au respect de sa vie privée et familiale, de son domicile et de sa correspondance.</w:t>
      </w:r>
    </w:p>
    <w:p>
      <w:r>
        <w:t>b. Un étranger peut, selon les circonstances, se prévaloir du droit au respect de sa vie privée et familiale, au sens de la disposition conventionnelle précitée, pour s'opposer à une éventuelle séparation de sa famille. Encore faut-il, pour pouvoir</w:t>
      </w:r>
    </w:p>
    <w:p>
      <w:r>
        <w:t>- 10/14 - A/3361/2009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w:t>
      </w:r>
    </w:p>
    <w:p>
      <w:r>
        <w:t>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 ATA/574/2009 du 10 novembre 2009).</w:t>
      </w:r>
    </w:p>
    <w:p>
      <w:r>
        <w:t>d. Le Tribunal fédéral a décidé dans ses arrêts de principe (ATF 124 II 361 et 126 II 377) que la Convention relative aux droits de l'enfant de l'ONU ne conférait aucun droit à l'octroi d'une autorisation de séjour.</w:t>
      </w:r>
    </w:p>
    <w:p>
      <w:r>
        <w:rPr>
          <w:b/>
        </w:rPr>
        <w:t>E. 5</w:t>
      </w:r>
    </w:p>
    <w:p>
      <w:r>
        <w:t>En l’espèce, il ressort des faits rappelés ci-dessus que, quels qu’en soient les motifs, le recourant n’a quasiment jamais cohabité avec son fils Kader. Aucun droit de visite ne lui a été accordé à ce jour. Dans ces circonstances, il n’est pas possible de considérer que sa relation avec son fils soit étroite et effective. Sur la base de cette disposition, il n’y a pas lieu de lui accorder une autorisation de séjour. De même, cette absence de liens affectifs forts entre M. M______ et son fils ne mérite pas la protection des dispositions de la CDE. A la différence de ce qui se passe en cas de vie commune, il n’est pas indispensable que le père, dans l’hypothèse où il bénéficierait d’un droit de visite, vive dans le même pays que son enfant. Le départ du recourant pour son pays d’origine compliquerait assurément l’exercice d’un éventuel droit de visite, mais ce dernier pourrait être, en tout état, aménagé de manière à tenir compte de la distance géographique et de la comptabilité avec des séjours touristiques (Arrêts du Tribunal fédéral 2A.392 2005 du 5 août 2005 consid. 2.4 et 2A.474/2001 du 15 février 2002 consid. 4.4).</w:t>
      </w:r>
    </w:p>
    <w:p>
      <w:r>
        <w:rPr>
          <w:b/>
        </w:rPr>
        <w:t>E. 5.3</w:t>
      </w:r>
    </w:p>
    <w:p>
      <w:r>
        <w:t>; Arrêts du Tribunal fédéral 2A.429/1998 du 5 mars 1999 et 2A.78/1998 du 25 août 1998).</w:t>
      </w:r>
    </w:p>
    <w:p>
      <w:r>
        <w:t>En l’espèce, la chambre administrative relèvera en premier que les problèmes médicaux ressortant des certificats figurant au dossier, soit une épilepsie et son traitement, ne sont pas les mêmes que ceux que l’intéressé met en avant dans son recours : des troubles psychiques ainsi qu’une tendance à la dépression.</w:t>
      </w:r>
    </w:p>
    <w:p>
      <w:r>
        <w:t>En ce qui concerne le traitement de la pathologie démontrée par certificat médical, la chambre administrative se limitera à relever que l’intéressé a séjourné pendant de longs mois dans son pays en étant suivi par des médecins locaux. D’autre part, un programme de traitement de l’épilepsie a été mis sur pied en 2009</w:t>
      </w:r>
    </w:p>
    <w:p>
      <w:r>
        <w:t>- 12/14 - A/3361/2009 au Cameroun, avec l’aide notamment de la société produisant le médicament prescrit au recourant (cf. http://www.journalducameroun.com/article.php?aid= 1678 et http://www.sanofi-aventis.com/rse/patient/acces-medicament/epilepsie/ actions/actions.asp consultés le 2 mars 2011).</w:t>
      </w:r>
    </w:p>
    <w:p>
      <w:r>
        <w:t>Le renvoi est dès lors exigible en l’état.</w:t>
      </w:r>
    </w:p>
    <w:p>
      <w:r>
        <w:rPr>
          <w:b/>
        </w:rPr>
        <w:t>E. 6</w:t>
      </w:r>
    </w:p>
    <w:p>
      <w:r>
        <w:t>Le recourant s’oppose d’autre part à son renvoi en raison de son état de santé.</w:t>
      </w:r>
    </w:p>
    <w:p>
      <w:r>
        <w:t>- 11/14 - A/3361/2009</w:t>
      </w:r>
    </w:p>
    <w:p>
      <w:r>
        <w:t>a. Selon l’article 83 al. 1er LEtr, l’ODM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w:t>
      </w:r>
    </w:p>
    <w:p>
      <w:r>
        <w:t>b. La jurisprudence rendue à propos de l’art. 14a de la loi fédérale sur le séjour et l’établissement des étrangers du 26 mars 1931 (LSEE - RS 142.20) n’a pas été remise en cause dans le cadre de l’application de l’art. 83 LEtr qui a remplacé au 1er janvier 2008 la disposition précitée, sans toutefois en modifier la substance (cf. ATAF C-476/2006 du 27 janvier 2009, consid. 8.2.1).</w:t>
      </w:r>
    </w:p>
    <w:p>
      <w:r>
        <w:t>c. L’exécution de la décision ne peut pas être raisonnablement exigée, notamment si le renvoi ou l’expulsion de l’étranger dans son pays d’origine ou de provenance le met concrètement en danger, par exemple en cas de guerre, de guerre civile, de violence généralisée ou de nécessité médicale (art. 83 al. 4 LEtr).</w:t>
      </w:r>
    </w:p>
    <w:p>
      <w:r>
        <w:t>Cette disposition, rédigée en la forme potestative, n’est pas issue des normes du droit international, mais procède de préoccupations humanitaires qui sont le fait du législateur suisse.</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w:t>
      </w:r>
    </w:p>
    <w:p>
      <w:r>
        <w:rPr>
          <w:b/>
        </w:rPr>
        <w:t>E. 7</w:t>
      </w:r>
    </w:p>
    <w:p>
      <w:r>
        <w:t>Au vu de ce qui précède, le recours sera rejeté et la décision litigieuse confirmée.</w:t>
      </w:r>
    </w:p>
    <w:p>
      <w:r>
        <w:t>Aucun émolument ne sera mis à la charge du recourant, qui est au bénéfice de l’assistance juridique (art. 87 LPA ;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