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ATA/1553/2017 vom 29. November 2017</w:t>
      </w:r>
    </w:p>
    <w:p>
      <w:r>
        <w:t>GE Cour de justice, 2017-11-29, FR</w:t>
      </w:r>
    </w:p>
    <w:p>
      <w:r>
        <w:rPr>
          <w:b/>
        </w:rPr>
        <w:t xml:space="preserve">Quelle: </w:t>
      </w:r>
      <w:r>
        <w:t>https://mcp.opencaselaw.ch/entscheid/ge_gerichte_ATA_1553_2017</w:t>
      </w:r>
    </w:p>
    <w:p>
      <w:r>
        <w:t>FR: GE_GERICHTE ATA/1553/2017 du 29 novembre 2017</w:t>
      </w:r>
    </w:p>
    <w:p>
      <w:r>
        <w:t>IT: GE_GERICHTE ATA/1553/2017 del 29 novembre 2017</w:t>
      </w:r>
    </w:p>
    <w:p>
      <w:pPr>
        <w:pStyle w:val="Heading2"/>
      </w:pPr>
      <w:r>
        <w:t>Erwägungen</w:t>
      </w:r>
    </w:p>
    <w:p>
      <w:r>
        <w:rPr>
          <w:b/>
        </w:rPr>
        <w:t>E. 12</w:t>
      </w:r>
    </w:p>
    <w:p>
      <w:r>
        <w:t>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2)</w:t>
      </w:r>
    </w:p>
    <w:p>
      <w:r>
        <w:t>Les décisions sur mesures provisionnelles sont prises par le président ou le vice-président de la chambre administrative ou, en cas d’empêchement de ceux-ci, par un autre juge (art. 21 al. 2 LPA et art. 9 al. 1 du règlement interne de la chambre administrative du 26 septembre 2017). 3)</w:t>
      </w:r>
    </w:p>
    <w:p>
      <w:r>
        <w:t>L’autorité peut d’office ou sur requête ordonner des mesures provisionnelles en exigeant au besoin des sûretés (art. 21 al. 1 LPA). 4)</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w:t>
      </w:r>
    </w:p>
    <w:p>
      <w:r>
        <w:rPr>
          <w:b/>
        </w:rPr>
        <w:t>E. 17</w:t>
      </w:r>
    </w:p>
    <w:p>
      <w:r>
        <w:t>novembre 2015 consid. 2).</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w:t>
      </w:r>
    </w:p>
    <w:p>
      <w:r>
        <w:t>L'octroi de mesures provisionnelles présuppose l'urgence, à savoir que le refus de les ordonner crée pour l'intéressé la menace d'un dommage difficile à réparer (ATF 130 II 149 consid. 2.2 ; 127 II 132 consid. 3 = RDAF 2002 I 405).</w:t>
      </w:r>
    </w:p>
    <w:p>
      <w:r>
        <w:t>- 7/8 - A/3818/2017 6)</w:t>
      </w:r>
    </w:p>
    <w:p>
      <w:r>
        <w:t>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w:t>
      </w:r>
    </w:p>
    <w:p>
      <w:r>
        <w:t>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w:t>
      </w:r>
    </w:p>
    <w:p>
      <w:r>
        <w:t>En l’espèce, sont en balance l’intérêt privé du médecin à pouvoir à nouveau exercer son activité professionnelle et l’intérêt public à pouvoir garantir la sécurité des patients.</w:t>
      </w:r>
    </w:p>
    <w:p>
      <w:r>
        <w:t>Le recourant a fait l’objet de deux condamnations pénales dans les dossiers des dames B. et D. Il a par ailleurs fait l’objet de procédures administratives pour les cas des dames I. et C. Le cas d’une cinquième patiente (dame E) a été évoqué dans le cadre de la procédure pénale P/1______/2012. Le recourant a été interdit de pratiquer depuis cinq ans. La question de savoir, si le médecin a continué à pratiquer alors qu’il était sous interdiction, est litigieuse. En l’état, prima facie, rien au dossier n’indique que les autorités vaudoises seraient enclines à lever l’interdiction, indépendamment des conséquences qu’a la décision du DEAS du 17 août 2017. De surcroît, la levée de la mesure prononcée par les autorités vaudoises le 17 août 2012 était conditionnée à la soumission du recourant « à une expertise médicale ordonnée par le médecin cantonal [vaudois] » et au constat, dans ladite expertise, que le risque ayant conduit au prononcé de la décision du 17 août 2012 « a disparu ». Rien dans le dossier n’indique que cette expertise aurait été effectuée ou serait en cours.</w:t>
      </w:r>
    </w:p>
    <w:p>
      <w:r>
        <w:t>L’attestation du 4 septembre 2017 du Dr G______ et de M. H______ fait état d’un suivi de M. A______ psychothérapeutique, hebdomadaire, et psychiatrique, mensuel, depuis le 1er novembre 2013. Les deux praticiens insistent sur l’importance d’envisager une nouvelle expertise indépendante avant de statuer définitivement quant à la capacité ou incapacité d’exercer la profession de M. A______, « tenant compte d’un risque de récidive qui peut changer grâce à la mise en place d’une thérapie ».</w:t>
      </w:r>
    </w:p>
    <w:p>
      <w:r>
        <w:t>En conséquence, en l’état, au vu des procédures qui se sont déjà déroulées, des condamnations intervenues, du fait qu’un avertissement avait été prononcé en 2007, de la condition posée par les autorités vaudoises avant toute reprise de l’activité professionnelle du recourant sur leur territoire et de l’attestation des praticiens qui</w:t>
      </w:r>
    </w:p>
    <w:p>
      <w:r>
        <w:t>- 8/8 - A/3818/2017 assurent le suivi de l’intéressé concluant à une expertise pour établir le risque de récidive du recourant, l’intérêt public à la prévention des patients doit primer l’intérêt privé du médecin à reprendre son activité professionnelle avant que le recours ne soit jugé au fond.</w:t>
      </w:r>
    </w:p>
    <w:p>
      <w:r>
        <w:t>La requête en restitution de l’effet suspensif est rejetée.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Marco Rossi, avocat du recourant, ainsi qu'au département de l’emploi, des affaires sociales et de la santé – direction générale de la santé.</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