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ATA/154/2020 vom 11. Februar 2020</w:t>
      </w:r>
    </w:p>
    <w:p>
      <w:r>
        <w:t>GE Cour de justice, 2020-02-11, FR</w:t>
      </w:r>
    </w:p>
    <w:p>
      <w:r>
        <w:rPr>
          <w:b/>
        </w:rPr>
        <w:t xml:space="preserve">Quelle: </w:t>
      </w:r>
      <w:r>
        <w:t>https://mcp.opencaselaw.ch/entscheid/ge_gerichte_ATA_154_2020</w:t>
      </w:r>
    </w:p>
    <w:p>
      <w:r>
        <w:t>FR: GE_GERICHTE ATA/154/2020 du 11 février 2020</w:t>
      </w:r>
    </w:p>
    <w:p>
      <w:r>
        <w:t>IT: GE_GERICHTE ATA/154/2020 del 11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de ces points de vue (art. 132 de la loi sur l'organisation judiciaire du 26 septembre 2010 - 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Lorsque l’existence d’un intérêt actuel à obtenir l’annulation de la décision attaquée s’éteint pendant la procédure, le recours, devenu sans objet, doit être rayé du rôle (ATA/1477/2019 du 8 octobre 2019 et les références citées).</w:t>
      </w:r>
    </w:p>
    <w:p>
      <w:r>
        <w:t>En l’espèce, au vu de la décision rendue par l’autorité le 21 mai 2019, laquelle n'a pas été contestée par le recourant, le recours a perdu tout objet et la cause sera rayée du rôle.</w:t>
      </w:r>
    </w:p>
    <w:p>
      <w:r>
        <w:rPr>
          <w:b/>
        </w:rPr>
        <w:t>E. 3</w:t>
      </w:r>
    </w:p>
    <w:p>
      <w:r>
        <w:t>Vu l’issue du litige, aucun émolument ne sera perçu et aucune indemnité de procédure ne sera accordée (art. 87 LPA al. 1 et al. 2).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