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ATA/1534/2017 vom 28. November 2017</w:t>
      </w:r>
    </w:p>
    <w:p>
      <w:r>
        <w:t>GE Cour de justice, 2017-11-28, FR</w:t>
      </w:r>
    </w:p>
    <w:p>
      <w:r>
        <w:rPr>
          <w:b/>
        </w:rPr>
        <w:t xml:space="preserve">Quelle: </w:t>
      </w:r>
      <w:r>
        <w:t>https://mcp.opencaselaw.ch/entscheid/ge_gerichte_ATA_1534_2017</w:t>
      </w:r>
    </w:p>
    <w:p>
      <w:r>
        <w:t>FR: GE_GERICHTE ATA/1534/2017 du 28 novembre 2017</w:t>
      </w:r>
    </w:p>
    <w:p>
      <w:r>
        <w:t>IT: GE_GERICHTE ATA/1534/2017 del 28 novembre 2017</w:t>
      </w:r>
    </w:p>
    <w:p>
      <w:pPr>
        <w:pStyle w:val="Heading2"/>
      </w:pPr>
      <w:r>
        <w:t>Regeste</w:t>
      </w:r>
    </w:p>
    <w:p>
      <w:r>
        <w:t>Résumé: Suite à une procédure de réévaluation de fonction, la recourante a vu sa fonction dévaluée d'une classe sur l'échelle des traitements mais augmentée de trois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de la recourante (formation, analyse et synthèse, gestion des ressources humaines). Enfin et pour des motifs d'égalité de traitement, il est conforme au droit que la mise en oeuvre de la nouvelle classification soit fixée à une date précise pour tous les employés. Recours rejeté.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w:t>
      </w:r>
    </w:p>
    <w:p>
      <w:r>
        <w:t>Sont des autorités administratives notamment les corporations et établissements de droit public (art. 5 let. e LPA).</w:t>
      </w:r>
    </w:p>
    <w:p>
      <w:r>
        <w:t>b. Établissement de droit public autonome dans les limites fixées par la loi sur les transports publics genevois du 21 novembre 1975 (LTPG - H 1 55), les TPG sont une autorité administrative au sens de l’art. 5 let. e LPA.</w:t>
      </w:r>
    </w:p>
    <w:p>
      <w:r>
        <w:t>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w:t>
      </w:r>
    </w:p>
    <w:p>
      <w:r>
        <w:t>- 10/22 - A/16/2017</w:t>
      </w:r>
    </w:p>
    <w:p>
      <w:r>
        <w:t>d. Interjeté en temps utile devant la juridiction compétente, le recours est recevable de ces points de vue (art. 62 al. 1 let. a et 63 al. 1 let. c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(ATA/1199/2017 du 22 août 2017 consid. 6b et les arrêts cités).</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(ATA/1199/2017 précité consid. 6b ; ATA/766/2016 du 13 septembre 2016 consid. 3 et les références citées).</w:t>
      </w:r>
    </w:p>
    <w:p>
      <w:r>
        <w:t>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w:t>
      </w:r>
    </w:p>
    <w:p>
      <w:r>
        <w:t>c. En l'espèce, le courrier du 17 novembre 2016 fixe le traitement salarial de la recourante suite à la dévaluation de sa fonction dès le 1er janvier 2017.</w:t>
      </w:r>
    </w:p>
    <w:p>
      <w:r>
        <w:t>Ce document est une mesure individuelle et concrète prise par un établissement de droit public autonome sur la base de son statut et ayant pour objet de modifier la situation juridique de la recourante quant à son traitement salarial dès le 1er janvier 2017.</w:t>
      </w:r>
    </w:p>
    <w:p>
      <w:r>
        <w:t>Ce document constitue bien une décision quant à son contenu et ses effets, ce qui, au demeurant, n'est pas contesté. 3)</w:t>
      </w:r>
    </w:p>
    <w:p>
      <w:r>
        <w:t>Selon l'intimé, la recourante ne dispose pas de la qualité pour recourir.</w:t>
      </w:r>
    </w:p>
    <w:p>
      <w:r>
        <w:t>a. Aux termes de l’art. 60 al. 1 LPA, ont qualité pour recourir les parties à la procédure qui a abouti à la décision attaquée (let. a) et toute personne qui est touchée directement par une loi constitutionnelle, une loi, un règlement du Conseil</w:t>
      </w:r>
    </w:p>
    <w:p>
      <w:r>
        <w:t>- 11/22 - A/16/2017 d’État ou une décision et a un intérêt personnel digne de protection à ce que l’acte soit annulé ou modifié (let. b).</w:t>
      </w:r>
    </w:p>
    <w:p>
      <w:r>
        <w:t>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(ATA/407/2017 précité consid. 2b ; ATA/1059/2015 du 6 octobre 2015 consid. 3b et les nombreux arrêts cités).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w:t>
      </w:r>
    </w:p>
    <w:p>
      <w:r>
        <w:t>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w:t>
      </w:r>
    </w:p>
    <w:p>
      <w:r>
        <w:t>e. En l'occurrence, il ressort de la décision de l'intimé du 17 novembre 2016 que la fonction de la recourante au 31 décembre 2016 était classée en classe 22, échelon 12, ce qui correspondait à un salaire mensuel brut de CHF 12'292.43. Suite à la dévaluation de sa fonction, la recourante bénéficie depuis le 1er janvier 2017 de la classe 21, échelon 15, ce qui correspond à un salaire mensuel brut de CHF 12'404.66. Il est ainsi exact que depuis le 1er janvier 2017 la recourante bénéficie d'un traitement supérieur à ce qu'elle percevait avant la dévaluation de sa fonction.</w:t>
      </w:r>
    </w:p>
    <w:p>
      <w:r>
        <w:t>- 12/22 - A/16/2017</w:t>
      </w:r>
    </w:p>
    <w:p>
      <w:r>
        <w:t>Toutefois, force est de constater qu'en se trouvant désormais à l'échelon 15 (sur 17 échelons) de la classe 21, l'intéressée aura plus rapidement atteint le maximum des échelons de sa nouvelle classe, ce qui signifie pour elle, en définitive, une perte de salaire annuel. Par ailleurs et compte tenu du mécanisme relatif à la progression salariale (art. 25 al. 2 du statut qui prévoit une progression non linéaire), dès le 1er mai 2023, la recourante percevra un montant moins élevé que si elle était restée en classe 22.</w:t>
      </w:r>
    </w:p>
    <w:p>
      <w:r>
        <w:t>Même s'il n'est pas certain que la recourante poursuive son activité au sein des TPG jusqu'au 1er janvier 2023, ou au-delà, ou que la progression salariale ne soit pas gelée entre-temps, la chambre de céans considère que, dans ce genre de cas, il convient de se positionner au moment de la prise de décision et d'examiner si la modification de la classe de traitement a, à terme et en définitive, des effets sur la situation juridique de l'intéressée. Ce qui est bien le cas, en l'espèce, puisqu'en se trouvant dans une classe inférieure, la recourante ne pourra jamais atteindre le montant maximum de la classe 22, lequel est dans tous les cas, suite à la dévaluation de sa fonction, supérieur à celui de sa classe actuelle (classe 21). L'intérêt futur, sur lequel il ne sera pas possible de revenir, est un intérêt actuel.</w:t>
      </w:r>
    </w:p>
    <w:p>
      <w:r>
        <w:t>Cela se justifie également au motif qu'une décision telle que celle querellée échapperait systématiquement à son contrôle.</w:t>
      </w:r>
    </w:p>
    <w:p>
      <w:r>
        <w:t>Il convient dès lors d'entrer en matière sur le recours. 4)</w:t>
      </w:r>
    </w:p>
    <w:p>
      <w:r>
        <w:t>La recourante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30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w:t>
      </w:r>
    </w:p>
    <w:p>
      <w:r>
        <w:t>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w:t>
      </w:r>
    </w:p>
    <w:p>
      <w:r>
        <w:t>- 13/22 - A/16/2017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la recourante – de faire appel à l'entraide administrative (art. 25 al. 4 let. a LPA). Il en est de même s'agissant de leurs échanges avec le SAI.</w:t>
      </w:r>
    </w:p>
    <w:p>
      <w:r>
        <w:t>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w:t>
      </w:r>
    </w:p>
    <w:p>
      <w:r>
        <w:t>Enfin, les TPG ont produit leur dossier où ne figurent pas les procès-verbaux des entretiens des 30 août et 17 novembre 2016. Cette absence et les conséquences qui en découlent seront traitées dans les considérants qui suivent.</w:t>
      </w:r>
    </w:p>
    <w:p>
      <w:r>
        <w:t>La chambre de céans dispose ainsi de tous les éléments utiles pour statuer en toute connaissance de cause. 5)</w:t>
      </w:r>
    </w:p>
    <w:p>
      <w:r>
        <w:t>Dans un premier grief, la recourante soutient que l'intimé a violé son droit d'être entendue sur plusieurs points, notamment la décision, déjà rédigée et prête à être notifiée au moment de l'entretien du 17 novembre 2016, avait été prise avant même que les parties ne puissent valablement se déterminer devant l'autorité</w:t>
      </w:r>
    </w:p>
    <w:p>
      <w:r>
        <w:t>- 14/22 - A/16/2017 compétente. De plus, la recourante n'avait pas eu accès au dossier et la décision attaquée n'était pas motivée.</w:t>
      </w:r>
    </w:p>
    <w:p>
      <w:r>
        <w:t>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w:t>
      </w:r>
    </w:p>
    <w:p>
      <w:r>
        <w:t>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(ATA/453/2017 du 25 avril 2017 consid. 5c ; ATA/747/2016 précité consid. 4e et les références citées).</w:t>
      </w:r>
    </w:p>
    <w:p>
      <w:r>
        <w:t>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w:t>
      </w:r>
    </w:p>
    <w:p>
      <w:r>
        <w:t>- 15/22 - A/16/2017 employés dont les fonctions seraient dévaluées. Aucune baisse salariale ne serait toutefois appliquée, ce qui en soi est correct, puisqu'au moment de l'entrée en vigueur de la nouvelle classification la recourante a perçu effectivement un salaire plus élevé qu'avant la dévaluation de sa fonction (cf. supra consid. 3e).</w:t>
      </w:r>
    </w:p>
    <w:p>
      <w:r>
        <w:t>Dans le prolongement de cette « info-RH », la recourante a été convoquée pour un entretien avec les RH et la direction des intimés pour le 30 août 2016 dont le sujet était l'évaluation des fonctions et son impact sur le positionnement salarial du poste de l'intéressée. Bien qu'aucun procès-verbal n'ait été tenu à cette occasion,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la recourante n'a pas pu faire valoir son point de vue au cours de cet entretien.</w:t>
      </w:r>
    </w:p>
    <w:p>
      <w:r>
        <w:t>S'il est exact qu'aucun document ne semble avoir été remis à la recourante au moment de cet entretien, elle n'a pas allégué en avoir fait la demande à ce moment-là. Par ailleurs, la recourante a pu se déterminer dans le cadre de ses observations dans le délai prolongé au 15 septembre 2016 et elle a reçu, suite à celles-ci, les critères d'évaluation utilisés, ainsi que les réponses aux questions les plus souvent posées. Enfin, elle a une nouvelle fois été reçue le 17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expliqué que les observations du 15 septembre 2017 n'avaient pas emporté sa conviction, si bien qu'il pouvait agir de la sorte. Enfin, on ne saurait suivre la recourante lorsqu'elle expose qu'elle n'a pas pu se déterminer ni avant ni après la décision litigieuse du CA, dans la mesure où elle a été reçue par deux fois en entretien et qu'elle a pu présenter des observations avant la prise de la décision présentement querellée.</w:t>
      </w:r>
    </w:p>
    <w:p>
      <w:r>
        <w:t>S'agissant de la problématique relative à la motivation de la décision, la chronologie du dossier telle que résumée ci-dessus permet à la chambre de céans de considérer que la recourante était au fait des raisons pour lesquelles sa fonction avait été revue à la baisse. D'ailleurs, dans ses observations du 15 septembre 2016, celle-ci a pu faire valoir différentes tâches qui, selon elle, n'avait pas été prises en considération.</w:t>
      </w:r>
    </w:p>
    <w:p>
      <w:r>
        <w:t>- 16/22 - A/16/2017</w:t>
      </w:r>
    </w:p>
    <w:p>
      <w:r>
        <w:t>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la recourante a eu l'occasion de s'exprimer et de faire valoir l'entier de ses griefs dans son recours du 14 novembre 2016 et dans ses écritures subséquentes notamment après production, de la part de l'intimé, des documents relatifs à la réévaluation. Quant à l'intimé, il a pu développer ses arguments.</w:t>
      </w:r>
    </w:p>
    <w:p>
      <w:r>
        <w:t>Le grief sera écarté. 6)</w:t>
      </w:r>
    </w:p>
    <w:p>
      <w:r>
        <w:t>La recourante considère que l'intimé a violé les principes généraux régissant le droit du travail en ayant modifié unilatéralement son contrat de travail. Elle soutient également que la consultation des organisations représentatives du personnel n'est pas établie.</w:t>
      </w:r>
    </w:p>
    <w:p>
      <w:r>
        <w:t>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w:t>
      </w:r>
    </w:p>
    <w:p>
      <w:r>
        <w:t>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aux intimés par un rapport de droit public (al. 2). La loi fédérale complétant le Code civil suisse du 30 mars 1911 (Livre cinquième : Droit des obligations - CO - RS 220), notamment son titre dixième (du contrat de travail), s'applique à titre de droit supplétif (al. 3).</w:t>
      </w:r>
    </w:p>
    <w:p>
      <w:r>
        <w:t>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w:t>
      </w:r>
    </w:p>
    <w:p>
      <w:r>
        <w:t>c. La doctrine prévoit qu'un contrat de droit administratif peut être modifié par accord entre les parties et dans le respect du cadre législatif. Une modification du</w:t>
      </w:r>
    </w:p>
    <w:p>
      <w:r>
        <w:t>- 17/22 - A/16/2017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w:t>
      </w:r>
    </w:p>
    <w:p>
      <w:r>
        <w:t>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w:t>
      </w:r>
    </w:p>
    <w:p>
      <w:r>
        <w:t>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w:t>
      </w:r>
    </w:p>
    <w:p>
      <w:r>
        <w:t>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(1er janvier 1999) et ne trouve dès lors pas application en l'espèce. De même, la recourante n'a pas allégué que des assurances précises lui auraient été données à l'occasion de son engagement ou plus tard.</w:t>
      </w:r>
    </w:p>
    <w:p>
      <w:r>
        <w:t>Il n'est pas contesté que la recourante n'a pas manifesté son accord quant à la modification de sa classe de traitement, notamment au vu de la présente procédure. Toutefois et dans la mesure où comme pour un fonctionnaire employé par l'État, le rapport qui lie la recourante à l'intimé est un rapport de droit public (art. 2 al. 2 du statut), la jurisprudence fédérale précitée peut s'appliquer mutatis mutandis à la présente cause.</w:t>
      </w:r>
    </w:p>
    <w:p>
      <w:r>
        <w:t>- 18/22 - A/16/2017</w:t>
      </w:r>
    </w:p>
    <w:p>
      <w:r>
        <w:t>Ainsi, l'intimé demeurait libre de revoir en tout temps sa politique en matière de salaire et la recourante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w:t>
      </w:r>
    </w:p>
    <w:p>
      <w:r>
        <w:t>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w:t>
      </w:r>
    </w:p>
    <w:p>
      <w:r>
        <w:t>S'agissant de la procédure mise en place pour la réévaluation des classes de fonctions, l'intimé a produit un certain nombre de pièces.</w:t>
      </w:r>
    </w:p>
    <w:p>
      <w:r>
        <w:t>Selon le procès-verbal de la séance du 30 mai 2016 du CA caviardé : « Le (…) demande comment se sont passées les discussions avec les partenaires sociaux concernant cette classification des postes. M.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1ère séance de consultation et partage des résultats et mesures ». Une dernière, le 17 mai 2016, relative à une deuxième séance de consultation et partage des résultats et mesures.</w:t>
      </w:r>
    </w:p>
    <w:p>
      <w:r>
        <w:t>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la recourante lorsqu'elle allègue que les documents remis par les TPG ne sont pas suffisants. Il en découle que l'intimé a bien respecté l'art. 24 al. 2 du statut lors de la mise en œuvre du processus de réévaluation.</w:t>
      </w:r>
    </w:p>
    <w:p>
      <w:r>
        <w:t>Enfin, la recourante ne détaille pas en quoi la procédure de consultation n'aurait pas respecté le statut.</w:t>
      </w:r>
    </w:p>
    <w:p>
      <w:r>
        <w:t>Les griefs seront écartés. 7)</w:t>
      </w:r>
    </w:p>
    <w:p>
      <w:r>
        <w:t>La recourante estime que l'évaluation litigieuse ne prend pas en compte les charges et responsabilités de sa fonction.</w:t>
      </w:r>
    </w:p>
    <w:p>
      <w:r>
        <w:t>a. Selon l'art. 65 al. 2 1ère phr. LPA, l’acte de recours contient également l’exposé des motifs ainsi que l’indication des moyens de preuve.</w:t>
      </w:r>
    </w:p>
    <w:p>
      <w:r>
        <w:t>- 19/22 - A/16/2017</w:t>
      </w:r>
    </w:p>
    <w:p>
      <w:r>
        <w:t>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w:t>
      </w:r>
    </w:p>
    <w:p>
      <w:r>
        <w:t>c. Outre le fait que la recourante n'expose pas dans ses écritures par-devant la chambre de céans quelles sont les charges et responsabilités qui n'auraient pas été prises en considération dans le cadre de l'évaluation, alors qu'elle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w:t>
      </w:r>
    </w:p>
    <w:p>
      <w:r>
        <w:t>Même s'il est délicat de procéder à des comparaisons de fonctions, on peut toutefois relever que tous les responsables de secteur 4 se trouvent en classe 21 (la responsable comptabilité et fiscalité, soit la recourante, le/la responsable du contrôle de gestion, le/la responsable trésorerie et financement, le/la gestionnaire de programmes et portefeuille de projet, le/la gestionnaire de la sécurité des « TIC », le/la responsable exploitation « SIT », le/la responsable service desk, le/la responsable transformation digitale). Cette classification permet à la chambre de céans de constater une cohérence dans l'élaboration de ce classement.</w:t>
      </w:r>
    </w:p>
    <w:p>
      <w:r>
        <w:t>Par ailleurs, il ressort de la liste des réponses précitée que la fonction de la recourante a obtenu le nombre de points le plus élevé dans son service, ce qui démontre le poids reconnu à sa fonction. Notamment, pour le sous-critère de formation, la fonction de la recourante a obtenu le rang 4 (sur 4), ce qui signifie que sa fonction exige « une formation supérieure sanctionnée par un diplôme, d'une Haute école spécialisée ou une formation universitaire sanctionnée par une</w:t>
      </w:r>
    </w:p>
    <w:p>
      <w:r>
        <w:t>- 20/22 - A/16/2017 licence/diplôme ou un niveau jugé équivalent ». Ainsi, la fonction de la recourante a obtenu le rang maximum quant à la formation de base requise, ce qui est aussi le cas pour le sous-critère relatif à l'analyse et à la synthèse (rang 4 sur 4). De plus concernant le critère relatif à l'autonomie quant aux responsabilités, la fonction de l'intéressée a reçu la position 4 (sur 5), ce qui signifie que « la fonction s'exerce dans un cadre défini (budget, délais, standards de qualité, lois, règlement, etc.). La fonction permet de prendre des initiatives pour l'amélioration des processus décisionnels, organisationnels, de réalisation et de contrôle dans les limites fixées. ». Force est de constater que la fonction de la recourante a obtenu un rang élevé. Elle a en outre obtenu le même rang (4 sur 5) quant au sous-critère relatif à la gestion des ressources humaines, ce qui signifie que sa fonction a une responsabilité de gestion d'un service ou d'une équipe de projet étant constitué de plusieurs niveaux décisionnels. Cette gestion implique l'animation, la motivation et le développement des équipes. La fonction est responsable du recrutement, de la définition des objectifs, de leur évaluation, de la formation des collaborateurs. Cela semble bien correspondre à ce qu'elle a exposé dans ses observations du 15 septembre 2016.</w:t>
      </w:r>
    </w:p>
    <w:p>
      <w:r>
        <w:t>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personnes (6 % des employés) ont vu leur classe adaptée à la hausse.</w:t>
      </w:r>
    </w:p>
    <w:p>
      <w:r>
        <w:t>Au vu de ces éléments, du manque de précisions de la part de la recourante sur les critères qui n'auraient pas été pris en considération et du large pouvoir d’appréciation dont dispose l'intimé, on ne peut lui reprocher un abus de son pouvoir d'appréciation dans l'application des critères dans l'évaluation de la fonction de la recourante.</w:t>
      </w:r>
    </w:p>
    <w:p>
      <w:r>
        <w:t>Le grief sera écarté dans la mesure de sa recevabilité. 8)</w:t>
      </w:r>
    </w:p>
    <w:p>
      <w:r>
        <w:t>Dans un dernier grief, la recourante considère qu'en arrêtant au 1er janvier 2017 la prise d'effet de la décision attaquée, les TPG ont violé le droit, notamment l'art. 68 al. 2 du statut.</w:t>
      </w:r>
    </w:p>
    <w:p>
      <w:r>
        <w:t>a. Selon l'art. 68 al. 2 let. d du statut, le contrat de travail peut être résilié moyennant les délais de congé dès la 10ème année (sous-entendu de service), trois mois pour la fin d'un mois.</w:t>
      </w:r>
    </w:p>
    <w:p>
      <w:r>
        <w:t>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w:t>
      </w:r>
    </w:p>
    <w:p>
      <w:r>
        <w:t>- 21/22 - A/16/2017 (art. 8 Cst.), il est conforme au droit que la mise en œuvre de la nouvelle classification des fonctions soit prévue, pour tous les employés de l'intimé, à une date précise, soit en l'occurrence, le 1er janvier 2017.</w:t>
      </w:r>
    </w:p>
    <w:p>
      <w:r>
        <w:t>Le grief est mal fondé. 9)</w:t>
      </w:r>
    </w:p>
    <w:p>
      <w:r>
        <w:t>Compte tenu de qui précède, le recours sera rejeté. 10) Vu l'issue du litige, un émolument de CHF 1'000.- sera mis à la charge de la recourante,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(ATA/679/2017 précité consid. 8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