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ATA/1532/2017 vom 28. November 2017</w:t>
      </w:r>
    </w:p>
    <w:p>
      <w:r>
        <w:t>GE Cour de justice, 2017-11-28, FR</w:t>
      </w:r>
    </w:p>
    <w:p>
      <w:r>
        <w:rPr>
          <w:b/>
        </w:rPr>
        <w:t xml:space="preserve">Quelle: </w:t>
      </w:r>
      <w:r>
        <w:t>https://mcp.opencaselaw.ch/entscheid/ge_gerichte_ATA_1532_2017</w:t>
      </w:r>
    </w:p>
    <w:p>
      <w:r>
        <w:t>FR: GE_GERICHTE ATA/1532/2017 du 28 novembre 2017</w:t>
      </w:r>
    </w:p>
    <w:p>
      <w:r>
        <w:t>IT: GE_GERICHTE ATA/1532/2017 del 28 novembre 2017</w:t>
      </w:r>
    </w:p>
    <w:p>
      <w:pPr>
        <w:pStyle w:val="Heading2"/>
      </w:pPr>
      <w:r>
        <w:t>Erwägungen</w:t>
      </w:r>
    </w:p>
    <w:p>
      <w:r>
        <w:rPr>
          <w:b/>
        </w:rPr>
        <w:t>E. 26</w:t>
      </w:r>
    </w:p>
    <w:p>
      <w:r>
        <w:t>septembre 2010 - LOJ - E 2 05 ; art. 62 al. 1 let. a de la loi sur la procédure administrative du 12 septembre 1985 - LPA - E 5 10). 2)</w:t>
      </w:r>
    </w:p>
    <w:p>
      <w:r>
        <w:t>Le litige porte sur la conformité au droit de la décision de révocation du recourant. 3)</w:t>
      </w:r>
    </w:p>
    <w:p>
      <w:r>
        <w:t>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Les membres du personnel de chaque établissement public médical, ainsi que les membres du personnel de l'Hospice général relèvent de l'autorité du conseil d'administration (art. 2 al. 4 LPAC).</w:t>
      </w:r>
    </w:p>
    <w:p>
      <w:r>
        <w:t>Selon l’art. 16 LPAC, traitant des sanctions disciplinaires,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w:t>
      </w:r>
    </w:p>
    <w:p>
      <w:r>
        <w:t>2° la suspension d'augmentation du traitement pendant une durée déterminée,</w:t>
      </w:r>
    </w:p>
    <w:p>
      <w:r>
        <w:t>3° la réduction de traitement à l'intérieur de la classe ;</w:t>
      </w:r>
    </w:p>
    <w:p>
      <w:r>
        <w:t>- 9/18 - A/1829/2013</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trois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(art. 16 al. 2 LPAC). 4)</w:t>
      </w:r>
    </w:p>
    <w:p>
      <w:r>
        <w:t>Le recourant a le statut de fonctionnaire depuis le 1er mai 1998 (art. 5 LPAC). 5)</w:t>
      </w:r>
    </w:p>
    <w:p>
      <w:r>
        <w:t>En l’espèce, dans sa séance du 8 avril 2013, le bureau du conseil d’administration des HUG a décidé de révoquer le recourant. Cette décision lui a été communiquée par courrier du 10 mai 2013, signé par le président du conseil d’administration et le président du comité de direction. Les parties ne contestent pas que la décision a bien été prise par le bureau du conseil d’administration.</w:t>
      </w:r>
    </w:p>
    <w:p>
      <w:r>
        <w:t>Dans un arrêt du 31 mars 2015 (ATA/312/2015), la chambre administrative a jugé que la révocation d’un fonctionnaire des HUG prononcée par le seul bureau du conseil d’administration ne répondait pas aux exigences légales, aucune délégation n’étant prévue en faveur de celui-ci pour une décision de cette nature.</w:t>
      </w:r>
    </w:p>
    <w:p>
      <w:r>
        <w:t>En l’espèce, la décision querellée étant de même nature que celle en cause dans l’ATA/312/2015, il y a lieu de retenir de la même manière qu’elle a été prise par une autorité incompétente. Elle est ainsi entachée d’un vice formel, que la lecture des dispositions légales applicables permettait d’identifier. 6)</w:t>
      </w:r>
    </w:p>
    <w:p>
      <w:r>
        <w:t>Il est des cas où les vices affectant une décision sont si graves et si évidents qu'ils empêchent celle-ci d'avoir une existence – et donc des effets – quelconques. La décision nulle n'a que l'apparence de la décision et est censée n'avoir jamais existé. La nullité renverse ainsi la présomption de validité des décisions formellement en force. La possibilité de la nullité d'une décision crée une grande insécurité juridique. Elle ne peut être de ce fait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w:t>
      </w:r>
    </w:p>
    <w:p>
      <w:r>
        <w:t>- 10/18 - A/1829/2013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w:t>
      </w:r>
    </w:p>
    <w:p>
      <w:r>
        <w:t>In casu, le vice entachant la décision litigieuse entre dans la catégorie des particulièrement graves et était aisément décelable. Il constitue dès lors un motif de nullité.</w:t>
      </w:r>
    </w:p>
    <w:p>
      <w:r>
        <w:t>7)</w:t>
      </w:r>
    </w:p>
    <w:p>
      <w:r>
        <w:t>Il reste à examiner si la constatation de la nullité ne met pas sérieusement en danger la sécurité du droit. 8)</w:t>
      </w:r>
    </w:p>
    <w:p>
      <w:r>
        <w:t>Dans l’ATA/312/2015, la chambre de céans avait retenu que tel n’était pas le cas, car la situation prévalant jusqu’au 24 septembre 2014, date de la communication de la révocation, perdurait, à savoir que le recourant était toujours fonctionnaire, suspendu provisoirement, sans traitement, par le président du conseil d’administration, dans l’attente d’une décision à l’issue de l’enquête administrative ordonnée. Le 26 juin 2015, le conseil d’administration des HUG avait résilié le contrat de l’intéressé avec effet à la date d’ouverture de l’enquête administrative, vu notamment les conclusions du rapport d’enquête administrative. La chambre administrative a confirmé cette décision (ATA/118/2016 du 9 février 2016). 9)</w:t>
      </w:r>
    </w:p>
    <w:p>
      <w:r>
        <w:t>Dans la présente cause, la constatation de la nullité ramènerait les parties à la situation prévalant jusqu’au 10 mai 2013, à savoir que le recourant serait toujours fonctionnaire, suspendu provisoirement sans traitement par décision en force du président du conseil d’administration, dans l’attente d’une décision à l’issue de l’enquête administrative ordonnée le 22 mai 2012. Cependant, contrairement à la situation sanctionnée par l’ATA/312/2015, aucune décision disciplinaire ne peut plus être rendue en relation avec les faits retenus dans le rapport d’enquête administrative.</w:t>
      </w:r>
    </w:p>
    <w:p>
      <w:r>
        <w:t>En effet, selon l’art. 27 al. 7 LPAC, la responsabilité disciplinaire des membres du personnel se prescrit par un an après la découverte de la violation des devoirs de service et en tout cas par cinq ans après la dernière violation, la prescription étant suspendue uniquement pendant la durée de l’enquête administrative. Les faits reprochés au recourant remontant aux mois de février et avril 2012, la responsabilité disciplinaire est prescrite. 10) Par ailleurs, les HUG persistent à retenir à l’encontre du recourant une violation des devoirs de service, contestant l’issue pénale de leur dénonciation, à</w:t>
      </w:r>
    </w:p>
    <w:p>
      <w:r>
        <w:t>- 11/18 - A/1829/2013 savoir l’acquittement de l’intéressé. Ils ont toujours indiqué en cours de procédure qu’ils étaient opposés à une réintégration du recourant. À quoi s’ajoute que seuls les faits concernant Mme D. ont fait l’objet d’investigations dans le cadre de l’instruction pénale. Cela n’a pas pu être le cas pour ceux concernant Mme C., celle-ci étant décédée avant que ne débutent les investigations ordonnées par le procureur. Dans ces circonstances, un constat de nullité laisserait le litige ouvert en son état au 21 mai 2012, sans permettre d’en prévoir l’issue, seule une suite disciplinaire étant désormais exclue. 11) Enfin, il y a lieu de prendre en compte la situation particulière du recourant, telle qu’exposée dans le dossier, sans contestation de la part de l’intimé. Âgé de 62 ans, il n’exerce plus d’activité professionnelle depuis plus de cinq ans. Il n’a pas eu de revenu durant l’année de suspension sans traitement avant la décision de révocation. Ses seuls revenus depuis lors ont été des prestations réduites de l’assurance-chômage durant une année. Il n’a pas retrouvé d’emploi. Il a depuis lors vécu de la rente de l’assurance-vieillesse et survivants de son épouse et d’allocations versées par le service des prestations complémentaires. Ainsi, des dispositions durables sur les plans juridique, administratif et financier notamment, ont dû être prises par les époux A______ comme par leurs interlocuteurs, qui seraient remises en question en cas de nullité de la décision querellée. En raison de l’écoulement du temps, soit plus de cinq ans, les remettre en question compromettrait gravement la sécurité du droit. 12) La simple annulation de la décision litigieuse ne serait pas davantage propre à sauvegarder la sécurité du droit dès lors qu’elle mettrait le recourant dans une situation identique à celle prévalant au 21 mai 2012, sans prendre en compte les cinq années écoulées, laissant le litige ouvert comme relevé précédemment. 13) Il reste à déterminer si le système mis en place par le législateur genevois en cas de décision mettant fin aux rapports de service contraire au droit pour un motif formel, soit la constatation de la prise de décision par une autorité incompétente, offre la protection nécessaire au recourant.</w:t>
      </w:r>
    </w:p>
    <w:p>
      <w:r>
        <w:t>a. Les conséquences d’une telle décision sont prévues par l’art. 31 LPAC, dont la teneur a été modifiée le 19 décembre 2015.</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la législation applicable reste en principe celle qui était en vigueur lors de la réalisation de l’état de fait qui doit être apprécié juridiquement ou qui a des</w:t>
      </w:r>
    </w:p>
    <w:p>
      <w:r>
        <w:t>- 12/18 - A/1829/2013 conséquences juridiques (arrêt du Tribunal fédéral 2C_195/2016 du 26 septembre 2016 consid. 2.2.2. ; ATA/1052/2017 du 4 juillet 2017 consid. 4). La LPAC ne contenant pas de disposition transitoire, la décision litigieuse sera donc examinée au regard des dispositions de l’aLPAC, la novelle n’étant pas plus favorable pour les conséquences d’une résiliation des rapports de service contraire au droit.</w:t>
      </w:r>
    </w:p>
    <w:p>
      <w:r>
        <w:t>C’est donc l’art. 31 al. 2 et 3 aLPAC qui est applicable au cas d’espèce. Il s’ensuit que les conclusions prises par le recourant sur la base des art. 31 al. 2 à 4 LPAC seront écartées.</w:t>
      </w:r>
    </w:p>
    <w:p>
      <w:r>
        <w:t>b. Si la chambre administrative retient que la résiliation des rapports de service est contraire au droit, elle peut proposer à l’autorité compétente la réintégration (art. 31 al. 2 aLPAC). En cas de décision négative de l’autorité compétente, la chambre administrative fixe une indemnité dont le montant ne peut être inférieur à un mois et supérieur à vingt-quatre mois du dernier traitement brut, à l’exclusion de tout autre élément de rémunération (art. 31 al. 3 aLPAC).</w:t>
      </w:r>
    </w:p>
    <w:p>
      <w:r>
        <w:t>Ce système est propre à offrir la protection nécessaire au recourant, qui a d’ailleurs pris des conclusions en proposition de réintégration, alternativement en indemnisation, en se fondant sur les dispositions précitées. 14) En l’espèce, la décision querellée étant entachée d’un vice procédural grave, la chambre administrative retiendra qu’elle est contraire au droit.</w:t>
      </w:r>
    </w:p>
    <w:p>
      <w:r>
        <w:t>Dans la mesure où l’autorité intimée s’est expressément et constamment opposée à la réintégration du recourant, il y a lieu de procéder directement à la fixation de l’indemnité à laquelle il a droit en vertu de l’art. 31 al. 3 aLPAC. 15) a.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w:t>
      </w:r>
    </w:p>
    <w:p>
      <w:r>
        <w:t>Dans les cinq exemples qui suivent, l’indemnité pouvait aller jusqu’à vingt-quatre mois.</w:t>
      </w:r>
    </w:p>
    <w:p>
      <w:r>
        <w:t>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w:t>
      </w:r>
    </w:p>
    <w:p>
      <w:r>
        <w:t>- 13/18 - A/1829/2013 sans reproches ainsi que de la gravité particulière de l'atteinte au droit d’être entendu, en raison du refus de réintégration en dépit de la disponibilité du recourant (ATA/196/2014 du 1er avril 2014 consid. 13 ; ATA/195/2014 du 1er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Notre Haute Cour a donc réduit le montant de l’indemnité à six mois de traitement, qui s’ajoutait aux trois mois de salaire alloué pour suppression de la fonction.</w:t>
      </w:r>
    </w:p>
    <w:p>
      <w:r>
        <w:t>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(ATA/193/2014 du 1er avril 2014 consid. 17).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w:t>
      </w:r>
    </w:p>
    <w:p>
      <w:r>
        <w:t>Dans une affaire dans laquelle le licenciement était vicié matériellement en raison de la violation du principe de proportionnalité et de l’abus du pouvoir d’appréciation par l’autorité intimée,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du 15 avril 2014 consid. 9). Le Tribunal fédéral a estimé que ledit montant de l’indemnité restait dans les limites admissibles sous l’angle de l’arbitraire compte tenu des motifs invoqués dans l’arrêt cantonal (arrêt du Tribunal fédéral 8C_436/2014 du 16 juillet 2015 consid. 10.1).</w:t>
      </w:r>
    </w:p>
    <w:p>
      <w:r>
        <w:t>Dans un autre cas de licenciement matériellement vicié en raison d’une violation des principes de la proportionnalité et de l’égalité de traitement, la chambre administrative a tenu compte de la gravité de la faute du recourant qualifiée de moyennement grave, de la violation du droit par l’autorité intimée</w:t>
      </w:r>
    </w:p>
    <w:p>
      <w:r>
        <w:t>- 14/18 - A/1829/2013 dans le cadre du licenciement, du refus de réintégration malgré la disponibilité du recourant, de la durée des rapports de service qui était de cinq ans, du fait qu’il n’avait pas retrouvé de travail, qu’il était âgé de soixante ans et qu’il lui serait difficile de retrouver un emploi pour fixer l’indemnité à quinze mois (ATA/744/2014 précité consid. 5). Cet arrêt n’a pas été porté devant le Tribunal fédéral.</w:t>
      </w:r>
    </w:p>
    <w:p>
      <w:r>
        <w:t>Enfin, dans une autre affaire de licenciement matériellement vicié faute de motif important justifiant une telle décision, la chambre administrative a fixé l’indemnité due par l’autorité intimée à six mois du dernier traitement brut, ce qui correspondait à la moitié de l’indemnité maximale limitée dans ce cas-ci à douze mois contrairement aux cinq cas susmentionnés.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56 ans), la durée des rapports de service de plus de quatre ans, le refus de réintégration malgré la disponibilité de l’intéressé et la période de chômage ayant suivi la cessation des rapports de service (ATA/273/2015 du 17 mars 2015 consid. 11 à 13 et 17). Cet arrêt n’a pas été contesté devant le Tribunal fédéral.</w:t>
      </w:r>
    </w:p>
    <w:p>
      <w:r>
        <w:t>b. La chambre administrative n'a pas pour pratique de condamner un employeur au paiement d'un montant chiffré, mais de fixer l'indemnité pour refus de réintégration à un certain nombre de mois du dernier traitement brut de l'employé, conformément à l’art. 31 al. 3 aLPAC (ATA/258/2014 précité consid. 7). De plus, l’indemnité fondée sur cette disposition comprend le treizième salaire au prorata du nombre de mois fixés et n’est pas soumise à la déduction des cotisations sociales (ATA/1301/2015 du 8 décembre 2015 consid. 9). 16) En l’espèce, la chambre de céans se fondera sur l’ensemble des circonstances et en particulier les éléments suivants :</w:t>
      </w:r>
    </w:p>
    <w:p>
      <w:r>
        <w:t>a. Au stade de l’enquête administrative, les deux patientes dénonciatrices n’ont pas été entendues. Le rapport d’enquête administrative le justifie par le fait qu’elles n’avaient pas souhaité déposer plainte et n’avaient pas levé les intervenants médicaux de leur secret professionnel. Le seul effet concret de ce dernier point a été l’absence de mention de l’identité des intéressées dans les procès-verbaux et le rapport lui-même puisque les intervenants médicaux et notamment les médecins traitants de celles-ci se sont exprimés sur leur état de santé physique et psychique. Quant à la première explication, elle pourrait être recevable si d’autres personnes avaient été témoins des faits reprochés au recourant, ce qui n’est pas le cas, ou encore si les dénonciatrices n’avaient pas été en état de faire une déposition, ce qui n’a pas été soutenu.</w:t>
      </w:r>
    </w:p>
    <w:p>
      <w:r>
        <w:t>- 15/18 - A/1829/2013</w:t>
      </w:r>
    </w:p>
    <w:p>
      <w:r>
        <w:t>Ainsi, aucune relation directe et contradictoire des faits ne figure au dossier, non plus qu’une appréciation immédiate par l’enquêtrice de la crédibilité des dénonciatrices, alors, par exemple, que leur situation des faits dans le temps était incertaine – Mme C. a initialement signalé des faits s’étant produits plusieurs nuits durant, à une période durant laquelle le recourant n’était pas de service et Mme D. a relaté ses accusations à l’encontre du recourant en les situant deux ou trois semaines avant, période durant laquelle le recourant était en arrêt de travail, alors que la seule douche pour laquelle ce dernier l’a accompagnée remontait à quarante-huit heures avant qu’elle n’en parle – , que les souvenirs temporels des témoins ne coïncident pas toujours avec les extraits produits des dossiers et que l’intimé allègue qu’une date qui y est mentionnée est erronée.</w:t>
      </w:r>
    </w:p>
    <w:p>
      <w:r>
        <w:t>Cette lacune n’a pu être comblée par l’enquête pénale, seule Mme D. ayant pu être auditionnée, par la police uniquement, deux ans après sa dénonciation, après qu’il avait fallu lui rappeler son hospitalisation.</w:t>
      </w:r>
    </w:p>
    <w:p>
      <w:r>
        <w:t>b. La longue carrière du recourant au sein des HUG a été sans accroc entre le 1er mai 1995 et les faits rapportés par deux patientes entre février et avril 2012. Il ressort du dossier qu’il était un aide-soignant apprécié de l’ensemble de ses collègues, comme des patients.</w:t>
      </w:r>
    </w:p>
    <w:p>
      <w:r>
        <w:t>Alors qu’il avait lui-même attiré l’attention sur un incident pouvant constituer un antécédent survenu dans son précédent emploi, il ressort des pièces du dossier que l’employeur d’alors a entièrement disculpé le recourant, lui réitérant expressément sa confiance. Il n’a donc pas été licencié comme le soutient à tort l’intimé.</w:t>
      </w:r>
    </w:p>
    <w:p>
      <w:r>
        <w:t>c. Le recourant a été acquitté par deux juridictions pénales, pour les faits dénoncés par Mme D.</w:t>
      </w:r>
    </w:p>
    <w:p>
      <w:r>
        <w:t>L’intimé critique en vain ces deux jugements, en relevant que leur portée est strictement limitée au droit pénal. Il se limite à substituer son appréciation à celles du Tribunal de police et la CPAR, qui ont examiné les mêmes faits que ceux dénoncés par les HUG et sur lesquels a porté l’enquête administrative.</w:t>
      </w:r>
    </w:p>
    <w:p>
      <w:r>
        <w:t>d. L’employeur a refusé d’entrer en matière sur une réintégration, malgré la disponibilité du recourant. Dans ce contexte, si l’on ne peut lui reprocher d’avoir initialement fermement invoqué le principe de précaution, force est de constater qu’il n’a jamais nuancé sa position nonobstant l’évolution du dossier, alors même qu’il est un établissement employant plusieurs milliers de personnes.</w:t>
      </w:r>
    </w:p>
    <w:p>
      <w:r>
        <w:t>e. La violation procédurale est grave.</w:t>
      </w:r>
    </w:p>
    <w:p>
      <w:r>
        <w:t>f. Le recourant enfin est âgé de plus de 60 ans et n’exerce plus d’activité professionnelle depuis plusieurs années, facteurs compromettant son employabilité.</w:t>
      </w:r>
    </w:p>
    <w:p>
      <w:r>
        <w:t>- 16/18 - A/1829/2013</w:t>
      </w:r>
    </w:p>
    <w:p>
      <w:r>
        <w:t>Ainsi, l’indemnité sera arrêtée à vingt-quatre mois de son dernier traitement brut au sens de l’art. 2 de la loi concernant le traitement et les diverses prestations alloués aux membres du personnel de l’État, du pouvoir judiciaire et des établissements hospitaliers du 21 décembre 1973 (LTrait - B 5 15), comprenant le treizième salaire au pro rata temporis et non soumise aux déductions des cotisations sociales, à l’exclusion de tout autre élément de rémunération, avec intérêts moratoires à 5 % l’an dès le 21 mai 2012, date à partir de laquelle M. A______ a été suspendu sans traitement. 17) Au de ce qui précède, le recours sera admis. La décision litigieuse sera déclarée contraire au droit. L’indemnité due par l’autorité intimée sera fixée à vingt-quatre mois du dernier traitement brut de M. A______, comprenant le treizième salaire au pro rata temporis et non soumise aux déductions des cotisations sociales, à l’exclusion de tout autre élément de rémunération, avec intérêts moratoires à 5 % l’an dès le 21 mai 2012. 18) Aucun émolument ne sera perçu (art. 87 al. 1 LPA). Une indemnité de procédure de CHF 2'000.- sera allouée au recourant, à la charge des HUG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