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ATA/151/2022 vom 10. Februar 2022</w:t>
      </w:r>
    </w:p>
    <w:p>
      <w:r>
        <w:t>GE Cour de justice, 2022-02-10, FR</w:t>
      </w:r>
    </w:p>
    <w:p>
      <w:r>
        <w:rPr>
          <w:b/>
        </w:rPr>
        <w:t xml:space="preserve">Quelle: </w:t>
      </w:r>
      <w:r>
        <w:t>https://mcp.opencaselaw.ch/entscheid/ge_gerichte_ATA_151_2022</w:t>
      </w:r>
    </w:p>
    <w:p>
      <w:r>
        <w:t>FR: GE_GERICHTE ATA/151/2022 du 10 février 2022</w:t>
      </w:r>
    </w:p>
    <w:p>
      <w:r>
        <w:t>IT: GE_GERICHTE ATA/151/2022 del 10 febbraio 2022</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(ATA/595/2020 du 16 juin 2020 consid. 2b). Une requête en annulation d’une décision doit par exemple être déclarée recevable dans la mesure où le recourant a de manière suffisante manifesté son désaccord avec la décision ainsi que sa volonté qu’elle ne développe pas d’effets juridiques (ATA/133/2022 du 8 février 2022 consid. 2b).</w:t>
      </w:r>
    </w:p>
    <w:p>
      <w:r>
        <w:t>- 4/7 - A/2019/2021</w:t>
      </w:r>
    </w:p>
    <w:p>
      <w:r>
        <w:t>c. En l'espèce, le recourant a indiqué expressément faire recours contre la décision de sanction, et l'on comprend, même s'il fait référence à la présence de cette sanction à son dossier, qu'il en demande en fait l'annulation. Le recours est donc recevable.</w:t>
      </w:r>
    </w:p>
    <w:p>
      <w:r>
        <w:t>d. En outre, bien que la sanction de deux jours de cellule forte ait été exécutée, le recourant conserve un intérêt actuel à l'examen de la légalité de celle-ci, dès lors qu'il ne ressort pas du dossier que sa peine aurait pris fin et qu'il pourrait être tenu compte de la sanction contestée en cas de nouveau problème disciplinaire (ATA/63/2021 du 19 janvier 2021 consid. 1 ; ATA/774/2020 du 18 août 2020 consid. 3b).</w:t>
      </w:r>
    </w:p>
    <w:p>
      <w:r>
        <w:t>Le recours est par conséquent recevable. 3)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Un détenu doit respecter les dispositions du RRIP, les instructions du directeur général de l'office cantonal de la détention, ainsi que les ordres du directeur et du personnel pénitentiaire (art. 42 RRIP). Il doit en toutes circonstances adopter une attitude correcte à l'égard du personnel de la prison, des autres personnes incarcérées et des tiers (art. 44 RRIP).</w:t>
      </w:r>
    </w:p>
    <w:p>
      <w:r>
        <w:t>Il est interdit aux détenus, notamment, d’une façon générale, de troubler l’ordre et la tranquillité de l’établissement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À teneur de l'art. 47 al. 3 RRIP, le directeur ou, en son absence, son suppléant sont compétents pour prononcer la suppression de visite pour quinze</w:t>
      </w:r>
    </w:p>
    <w:p>
      <w:r>
        <w:t>- 5/7 - A/2019/2021 jours au plus (let. a), la suppression des promenades collectives (let. b), la suppression des activités sportives (let. c), la suppression d’achat pour quinze jours au plus (let. d), la suppression de l’usage des moyens audiovisuels pour quinze jours au plus (let. e), la privation de travail (let. f), le placement en cellule forte pour dix jours au plus (let. g). Le directeur peut déléguer ces compétences à un membre du personnel gradé (ATA/1631/2017 du 19 décembre 2017 consid. 3).</w:t>
      </w:r>
    </w:p>
    <w:p>
      <w:r>
        <w:t>Le placement d'une personne détenue en cellule forte pour une durée supérieure à cinq jours est impérativement prononcé par le directeur ou, en son absence, par son suppléant ou un membre du conseil de direction chargé de la permanence (art. 47 al. 8 RRIP).</w:t>
      </w:r>
    </w:p>
    <w:p>
      <w:r>
        <w:t>d.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w:t>
      </w:r>
    </w:p>
    <w:p>
      <w:r>
        <w:t>De jurisprudence constante, la chambre de céans accorde généralement une pleine valeur probante aux constatations figurant dans un rapport de police, établi par des agents assermentés (ATA/63/2021 précité consid. 3d), sauf si des éléments permettent de s'en écarter. Dès lors que les agents de détention sont également des fonctionnaires assermentés (art. 7 LOPP), le même raisonnement peut être appliqué aux rapports établis par ces derniers.</w:t>
      </w:r>
    </w:p>
    <w:p>
      <w:r>
        <w:t>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147 I 393 consid. 5 ; 137 I 167 consid. 3.6).</w:t>
      </w:r>
    </w:p>
    <w:p>
      <w:r>
        <w:t>f. En matière de sanctions disciplinaires, l'autorité dispose d'un large pouvoir d'appréciation ; le pouvoir d'examen de la chambre administrative se limite à l'excès ou l'abus du pouvoir d'appréciation (art. 61 al. 2 LPA ; ATA/1451/2017 du</w:t>
      </w:r>
    </w:p>
    <w:p>
      <w:r>
        <w:rPr>
          <w:b/>
        </w:rPr>
        <w:t>E. 31</w:t>
      </w:r>
    </w:p>
    <w:p>
      <w:r>
        <w:t>octobre 2017 consid. 4c ; ATA/888/2015 du 1er septembre 2015 consid. 7b). 4)</w:t>
      </w:r>
    </w:p>
    <w:p>
      <w:r>
        <w:t>En l'espèce, le recourant ne donne pas d'élément qui permettrait de s'écarter du rapport d'incident établi par un agent de détention assermenté. Les rares faits qu'il présente coïncident avec ceux retenus par le rapport.</w:t>
      </w:r>
    </w:p>
    <w:p>
      <w:r>
        <w:t>- 6/7 - A/2019/2021</w:t>
      </w:r>
    </w:p>
    <w:p>
      <w:r>
        <w:t>Ainsi, le fait de répondre à un gardien « À ta sœur » et « Va te faire foutre » constitue sans conteste un manque de respect à un membre du personnel, et par là même une infraction à l'art. 44 RRIP – étant précisé que le recourant ne conteste pas fondamentalement avoir prononcé ces paroles, mais les occulte dans son acte de recours.</w:t>
      </w:r>
    </w:p>
    <w:p>
      <w:r>
        <w:t>L’existence d’une infraction objective au règlement est établie. 5)</w:t>
      </w:r>
    </w:p>
    <w:p>
      <w:r>
        <w:t>S'agissant de la proportionnalité de la sanction, force est de constater que la violation du RRIP ne revêt pas un haut degré de gravité.</w:t>
      </w:r>
    </w:p>
    <w:p>
      <w:r>
        <w:t>Toutefois, si le type de sanction choisi est le plus sévère, la quotité retenue, à savoir deux jours, se situe en bas de l'échelle et apparaît adéquate pour sanctionner les faits retenus, si bien que la sanction infligée respecte globalement le principe de la proportionnalité.</w:t>
      </w:r>
    </w:p>
    <w:p>
      <w:r>
        <w:t>Entièrement mal fondé, le recours sera rejeté. 6)</w:t>
      </w:r>
    </w:p>
    <w:p>
      <w:r>
        <w:t>Vu la nature du litige, aucun émolument ne sera perçu (art. 87 al. 1 LPA et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