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ATA/1519/2017 vom 21. November 2017</w:t>
      </w:r>
    </w:p>
    <w:p>
      <w:r>
        <w:t>GE Cour de justice, 2017-11-21, FR</w:t>
      </w:r>
    </w:p>
    <w:p>
      <w:r>
        <w:rPr>
          <w:b/>
        </w:rPr>
        <w:t xml:space="preserve">Quelle: </w:t>
      </w:r>
      <w:r>
        <w:t>https://mcp.opencaselaw.ch/entscheid/ge_gerichte_ATA_1519_2017</w:t>
      </w:r>
    </w:p>
    <w:p>
      <w:r>
        <w:t>FR: GE_GERICHTE ATA/1519/2017 du 21 novembre 2017</w:t>
      </w:r>
    </w:p>
    <w:p>
      <w:r>
        <w:t>IT: GE_GERICHTE ATA/1519/2017 del 21 novembre 2017</w:t>
      </w:r>
    </w:p>
    <w:p>
      <w:pPr>
        <w:pStyle w:val="Heading2"/>
      </w:pPr>
      <w:r>
        <w:t>Regeste</w:t>
      </w:r>
    </w:p>
    <w:p>
      <w:r>
        <w:t>Résumé: Lorsque l'actionnaire de sociétés impliqués dans une scission agit dans le cadre de sa fortune commerciale, l'opération reste neutre fiscalement pour autant qu'il reçoive des titres et non des espèces et qu'il en profite pas pour augmenter la valeur fiscalement déterminante de ses participations. Dans le cas concret, l'AFC-GE n'est pas parvenue à démontrer que l'opération de scission en question a été constitutive d'une prestation appréciable en argent, taxable dans la personne de l'actionnaire et il n'est par conséquent pas possible de retenir que ladite opération ne remplit pas les conditions de neutralité fiscales prévues par la circulaire N°5 du 1er juin 2004 de l'AFC-CH, étant rappelé que les circulaire ont, en tout état de cause, une portée limitée, n'ayant pas force obligatoire et étant uniquement l'expression de l'opinion de l'autorité qui les a émises.</w:t>
      </w:r>
    </w:p>
    <w:p>
      <w:pPr>
        <w:pStyle w:val="Heading2"/>
      </w:pPr>
      <w:r>
        <w:t>Erwägungen</w:t>
      </w:r>
    </w:p>
    <w:p>
      <w:r>
        <w:rPr>
          <w:b/>
        </w:rPr>
        <w:t>E. 14</w:t>
      </w:r>
    </w:p>
    <w:p>
      <w:r>
        <w:t>juin 2016 consid. 6b ; Xavier OBERSON, Droit fiscal suisse, 4ème éd., 2012, p. 138 n. 139). En raison du contenu similaire de l’art. 20 al. 1 let. c LIFD et de l’art. 22 al. 1 let. c LIPP, cette jurisprudence peut également s’appliquer à l’ICC, dans la mesure où le droit cantonal genevois comporte, à l’art. 12 de la loi sur l’imposition des personnes morales du 23 septembre 1994 (LIPM - D 3 15), dans sa teneur avant le 30 mars 2016, en particulier en sa lettre h, une disposition équivalente à l’art. 58 al. 1 let. b LIFD (ATA/907/2016 précité consid. 5b ; ATA/594/2015 du 9 juin 2015 consid. 6b).</w:t>
      </w:r>
    </w:p>
    <w:p>
      <w:r>
        <w:t>b. 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la disproportion entre la prestation et la contre-prestation est manifeste, de telle sorte que les organes de la société savaient ou auraient pu se rendre compte de l'avantage qu'ils accordaient (ATF 140 II 88 consid. 4.1 ; 138 II 57 consid. 2.2 ; arrêts du Tribunal fédéral 2C_898/2015 du 12 octobre 2016 consid. 3.2 ; 2C_1082/2013 du 14 janvier 2015 consid. 4.2). L'évaluation de la prestation se mesure par comparaison avec une transaction qui aurait été effectuée entre parties non liées et en tenant compte de toutes les circonstances concrètes du cas d'espèce (principe du « Dealing at arm's length » ; ATF 140 II 88 consid. 4.1 ; 138 II 545 consid. 3.2 ; arrêt du Tribunal fédéral 2C_927/2013 du 21 mai 2014 consid. 5.1).</w:t>
      </w:r>
    </w:p>
    <w:p>
      <w:r>
        <w:t>c. Lorsqu’une personne physique détient des participations de plusieurs sociétés, des transactions entre ces sociétés, et non seulement entre l’actionnaire et chacune d’entre elles, peuvent intervenir. Si les conditions contractuelles ne correspondent pas à celles du marché, une des sociétés bénéficie d’un avantage lié à l’existence d’un actionnaire unique. Dans ces cas, on parle de la théorie du triangle, l’actionnaire occupant le sommet et les deux sociétés la base de la figure géométrique. Puisque l’avantage n’est possible qu’en raison de l’actionnaire commun, qui « contraint » ses deux sociétés à s’écarter des conditions du marché, on doit fiscalement considérer qu’il transite par lui, plutôt que de retenir qu’il n’a circulé qu’entre les deux parties au contrat. Sur le plan de l’impôt sur le revenu et le bénéfice, ce n’est donc pas la société enrichie qui voit son bénéfice imposable augmenter, mais l’actionnaire gratifié d’un avantage appréciable en argent au sens de l’art. 20 al. 1 let. c LIFD. En d’autres termes, l’avantage appréciable en argent</w:t>
      </w:r>
    </w:p>
    <w:p>
      <w:r>
        <w:t>- 11/20 - A/4428/2015 doit être imputé à l’actionnaire également lorsqu’il s’agit de dépenses faites par la société en faveur d’un tiers qui lui est proche (ATF 119 Ib 116 ; 113 Ib 23 ; arrêt du Tribunal fédéral 2A.73/2005 du 2 août 2005 : ATA/513/2016 précité consid. 6d ; Yves NOËL in Danielle YERSIN/Yves NOËL [éd.] Impôt fédéral direct, Commentaire de la loi sur l’impôt fédéral direct, 2008, ad art. 20 n. 96). Dans les cas de prestations appréciables en argent entre sociétés sœurs, l’avantage passe immédiatement d’une société à l’autre. Entre de telles sociétés, des attributions fondées sur un rapport de participation commun constituent en particulier des prestations appréciables en argent pour l’actionnaire. Le détenteur de parts doit ainsi être aussi imposé sur les attributions de la société versées en faveur d’une autre société dominée par lui lorsqu’une justification commerciale d’un tel procédé fait totalement défaut (ATF 138 II 57 consid. 4.2 ; ATA/1104/2015 du 13 octobre 2015 consid. 6e ; ATA/594/2015 précité consid. 6c). 7) a. Le droit fiscal suisse demeure en principe attaché au système classique de la double imposition économique des bénéfices d’une société de capitaux. Les profits générés par la société sont en effet frappés de l’impôt la première fois auprès de cette dernière, puis une seconde fois lors de la distribution aux actionnaires (Robert DANON, in Yves NOËL/Florence AUBRY GIRARDIN [éd.], Commentaire romand - Impôt fédéral direct, 2ème éd., 2017, p. 1102 n. 170 ad art. 57 et 58 ; Xavier OBERSON, op.cit., p. 233 n. 31). Les prestations appréciables en argent qui ne constituent pas un remboursement du capital social sont des distributions de bénéfices imposables dans le chef de l’actionnaire. En présence de celles-ci, l’autorité fiscale les réintègre dans les bénéfices imposables de la société. L’impôt anticipé sera également dû par cette dernière. L’actionnaire est quant à lui imposé sur le revenu comme si un dividende avait été distribué. Il peut cependant à certaines conditions requérir le remboursement de l’impôt anticipé (ATA/1308/2017 précité consid. 5a ; Xavier OBERSON, op. cit., p. 233 n. 31, p. 236-237 n. 43).</w:t>
      </w:r>
    </w:p>
    <w:p>
      <w:r>
        <w:t>b. Dans le cas d'une société de capitaux, le revenu de la participation n'est imposable que lorsqu'il est mis à la disposition du sociétaire, par une distribution décidée par l'organe suprême de la société – distribution ouverte – ou d'une manière non statutaire – distribution dissimulée ; il n'y a pas de transparence entre société et associé, chacun étant un contribuable distinct (ATA/69/2013 du 6 février 2013 consid. 9 : Danielle YERSIN/Yves NOËL [éd.], op. cit., n. 41 ad art. 20 LIFD).</w:t>
      </w:r>
    </w:p>
    <w:p>
      <w:r>
        <w:t>c. Si l'opération commerciale qualifiée de prestation appréciable en argent n'est imposée ni auprès de la société ni auprès du détenteur de parts, il en résulte une reprise chez l'un comme chez l'autre. Cela découle de l'art. 58 al. 1 let. b et c LIFD, en ce qui concerne la société effectuant la prestation, et des art. 17 al. 1 et 20 al. 1 let. c LIFD, s'agissant de l'actionnaire qui en bénéficie, dans</w:t>
      </w:r>
    </w:p>
    <w:p>
      <w:r>
        <w:t>- 12/20 - A/4428/2015 la mesure où il s'agit d'une personne physique (arrêts du Tribunal fédéral 2C_898/2015 du 12 octobre 2016 consid. 3.3 ; 2C_16/2015 du 6 août 2015 consid. 2). 8)</w:t>
      </w:r>
    </w:p>
    <w:p>
      <w:r>
        <w:t>Le revenu n'est imposable que s'il est réalisé. Cette condition essentielle constitue le fait générateur de l'imposition du revenu (arrêt du Tribunal fédéral 2C_620/2012 du 14 février 2013 in RDAF 2013 II 197 ; arrêt du Tribunal fédéral 2C_683/2013 du 13 février 2014 Jean-Marc RIVIER, Droit fiscal Suisse – L'imposition du revenu et de la fortune, 2ème ed., 1998, p. 326 ss ; Xavier OBERSON, op. cit., p. 83 ss ; Yves NOËL, op. cit., ad art. 16 n. 27 ss). Le principe de réalisation n'est pas explicite dans le texte légal. Il découle de l'interprétation du texte légal par la jurisprudence. La réalisation détermine en effet le point d'entrée de l'avantage économique dans la sphère fiscale du contribuable. Tant que l'avantage économique n'est pas réalisé, il demeure une expectative non encore imposable (ATF 95 I 21 consid. 5a ; arrêts du Tribunal fédéral 2C_152/2015 du 31 juillet 2015 consid. 4.3 ; 2C_692/2013 du 24 mars 2014 consid. 4.2).</w:t>
      </w:r>
    </w:p>
    <w:p>
      <w:r>
        <w:t>Selon la jurisprudence, un revenu est réalisé lorsqu'une prestation est faite au contribuable ou que ce dernier acquiert une prétention ferme sur laquelle il a effectivement un pouvoir de disposition (ATF 113 Ib 26 ; arrêts du Tribunal fédéral 2C_785/2013 du 28 mai 2014 consid. 4.1 ; 2C_620/2012 précité consid. 3.4 et les références citées).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(ATF 95 I 21 consid. 5a ; arrêt du Tribunal fédéral 2C_152/2015 précité consid. 4.3 ; 2C_692/2013 précité consid. 4.2 ; 2C_683/2013 du précité consid. 6.4 et les références citées ; ATA/41/2016 du 19 janvier 2016 consid. 9b). Le caractère certain de l'exécution de la prestation ne saurait dépendre de la seule volonté du contribuable (arrêt du Tribunal fédéral 2C_152/2015 précité consid. 4.3 ; ATA/41/2016 précité consid. 9b). En principe, le moment de l'acquisition du revenu coïncide avec sa réalisation, c'est-à-dire le moment où le contribuable acquiert le droit à une prestation et non celui où il reçoit effectivement la prestation. Il existe des exceptions au principe de réalisation effective, lorsque les revenus sont soumis par la loi à une réalisation comptable ou systématique (Jean-Marc RIVIER, op. cit., p. 327 et 329). 9)</w:t>
      </w:r>
    </w:p>
    <w:p>
      <w:r>
        <w:t>Selon les travaux préparatoires relatifs aux aspects fiscaux entraînés par la loi fédérale sur la fusion, la scission, la transformation et le transfert de patrimoine du 3 octobre 2003 (LFus - RS 221.301), le but du législateur est d'éviter que les possibilités offertes par le droit civil ne soient contrecarrées par le droit fiscal et d'assurer, à certaines conditions, la neutralité fiscale des restructurations prévues</w:t>
      </w:r>
    </w:p>
    <w:p>
      <w:r>
        <w:t>- 13/20 - A/4428/2015 par la LFus (Message du Conseil fédéral relatif à la LFus du 13 juin 2000, FF 2000 4024 et 4026).</w:t>
      </w:r>
    </w:p>
    <w:p>
      <w:r>
        <w:t>a. En matière d'imposition directe (impôt sur le revenu et impôt sur le bénéfice ; art. 19 et 61 LIFD), les dispositions spécifiques aux restructurations traitent avant tout du traitement fiscal des entreprises concernées par la restructuration. Sous réserve des règles concernant les actions détenues dans la fortune commerciale, la neutralité fiscale n'est évoquée dans la loi que pour les sociétés restructurées. Leurs actionnaires, en particulier ceux détenant les titres dans leur fortune privée, ne sont par contre pas mentionnés directement (Pierre-Marie GLAUSER, L'imposition des actionnaires en cas de « Mergers &amp; Acquisitions » in L'expert-comptable suisse ECS 5/09 pp. 345-359, p. 351). Pourtant, lors de restructurations, notamment de fusions, de concentrations équivalant à des fusions ou de scissions, les détenteurs de droits de participation échangent souvent leurs titres. Ces mouvements au sein de l'actionnariat sont cependant susceptibles d'entraîner des conséquences fiscales. En cas de scission, la valeur des fonds propres transférés entre deux sociétés est susceptible d'être taxée chez l'actionnaire comme un rendement de fortune (Pierre-Marie GLAUSER, op. cit., p. 351). La théorie du triangle permet en effet d'appréhender comme « dividende caché », chez l'actionnaire commun, les fonds propres (y compris les réserves latentes) transférés sans contre-prestation équivalente entre les deux sociétés concernées directement par la scission (Pierre-Marie GLAUSER, op. cit., p. 351, sous note de bas de page n. 115). Cela étant, les dispositions visant à faciliter les restructurations au niveau des sociétés resteraient sans effet si le traitement fiscal chez les actionnaires rendait l'opération trop onéreuse. Il est de ce fait admis que l'opération doit rester neutre au niveau des détenteurs de parts, pour autant que certaines conditions soient remplies (Pierre-Marie GLAUSER, op. cit., p. 351 ; Markus REICH, Kommentar zum Schweizerischen Steuerrecht I/2a, 2009 n. 12 ad art. 61 LIFD ; Pierre-Marie GLAUSER/Xavier OBERSON in Danielle YERSIN/Yves NOËL op. cit., n. 6 ad art. 61 LIFD).</w:t>
      </w:r>
    </w:p>
    <w:p>
      <w:r>
        <w:t>b. Les actionnaires détenant les titres dans la fortune commerciale sont soumis au principe de déterminance (ou de prééminence du bilan commercial). C'est donc la manière dont ils comptabilisent l'opération qui influence chez eux le traitement fiscal de la transaction. S'ils profitent de la restructuration pour enregistrer comptablement une plus-value, la transaction est imposée à due concurrence. Par contre, les art. 19 al. 1 let. c LIFD, s'agissant des titres détenus dans la fortune commerciale d'un indépendant, et 61 al. 1 let. c LIFD, pour ceux appartenant à une personne morale, précisent que la transaction demeure sans incidence à certaines conditions (Pierre-Marie GLAUSER, op. cit., p. 351 et les références citées). Tout d'abord, comme pour toute restructuration fiscalement neutre, le maintien de l'assujettissement en Suisse et la reprise de la même valeur comptable doivent être assurés. Ensuite, la transaction à laquelle participent les sociétés dont</w:t>
      </w:r>
    </w:p>
    <w:p>
      <w:r>
        <w:t>- 14/20 - A/4428/2015 l'actionnaire détient les titres (l'opération « sous-jacente ») doit être considérée fiscalement comme une restructuration, c'est-à-dire appartenir à l'une des catégories de restructuration pouvant être effectuée en neutralité fiscale au sens de l'art. 61 LIFD (Pierre-Marie GLAUSER, op. cit., p. 351 et les références citées). Cela étant, il n'est pas nécessaire que cette opération sous-jacente reste, dans les faits, entièrement neutre fiscalement. Pour autant que l'actionnaire conserve ses titres de participation à la même valeur comptable, il ne devrait en principe pas être imposé, même si la restructuration sous-jacente s'accompagne d'un décompte sur les réserves latentes auprès des sociétés concernées, par exemple parce qu'elles réévaluent certains actifs ou qu'elles transfèrent des réserves latentes à l'étranger. En revanche, si par nature la transaction sous-jacente ne représente pas une restructuration, par exemple lorsque les conditions pour la reconnaissance d'une scission au sens de l'art. 61 al. 1 let. b LIFD ne sont pas remplies ou lorsqu'un délai de blocage n'est pas respecté, les conditions des art. 19 al. 1 let. b et 61 al. 1 let. b LIFD ne sont pas données. Dans la mesure où l'actionnaire est soumis au principe de la valeur comptable, les éventuelles augmentations ou baisses de valeur nominale restent sans incidence à son niveau. Par ailleurs, si une soulte est payée, son traitement fiscal dépend de la nature économique du paiement compensatoire. Si la soulte est prélevée sur les fonds propres des sociétés participantes à l'opération, elle correspond généralement à un dividende et est traitée en conséquence (Pierre-Marie GLAUSER, op. cit., p. 351 et les références citées). Si en revanche le paiement compensatoire n'est pas acquitté par les sociétés restructurées mais par un tiers, par exemple un coactionnaire, ou par la société reprenante dans une quasi-fusion, il est appréhendé comme un gain en capital (Pierre-Marie GLAUSER, op. cit., p. 351 et les références citées).</w:t>
      </w:r>
    </w:p>
    <w:p>
      <w:r>
        <w:t>Le fait de prélever les fonds propres de la société scindée sur sa réserve issue d'apport en capital ou de comptabiliser chez l'entité reprenante les fonds propres comme réserve d'apport déploie les même effets qu'avec du capital nominal (Pierre-Marie GLAUSER/Xavier OBERSON in Yves NOËL/ Florence AUBRY GIRARDIN [éd.], op. cit., p. 1200 n. 51a ad art. 61 LIFD). Lorsque l'actionnaire des sociétés impliquées dans la scission agit dans le cadre de sa fortune commerciale, l'opération reste neutre fiscalement pour autant qu'il reçoive des titres et non des espèces, et qu'il n'en profite pas pour augmenter la valeur fiscalement déterminante de ses participations (art. 61 al. 1 let. c LIFD). Par ailleurs, la qualification des actions reçues dans le cadre de la scission reprend celle de la société scindée (Pierre-Marie GLAUSER/Xavier OBERSON in Yves NOËL/Florence AUBRY GIRARDIN, op. cit., p. 1200 n. 52 ad art. 61 LIFD). 10) L’AFC-CH a édicté une circulaire n° 5 du 1er juin 2004 (ci-après : la circulaire) où elle expose les conséquences fiscales relatives aux restructurations au plan de l’entreprise et au plan des détenteurs des droits de participation dans le domaine des impôts de la Confédération (IFD, impôt anticipé et droits de timbre).</w:t>
      </w:r>
    </w:p>
    <w:p>
      <w:r>
        <w:t>- 15/20 - A/4428/2015</w:t>
      </w:r>
    </w:p>
    <w:p>
      <w:r>
        <w:t>Afin d’assurer l’application uniforme de certaines dispositions légales, l’administration peut expliciter l’interprétation qu’elle leur donne dans des directives. En règle générale, les instructions, les circulaires et les directives administratives - ou, en d'autres termes, les ordonnances administratives -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arrêts du Tribunal fédéral 2C_522/2012 du 28 décembre 2012 consid. 2.3 ; 9C_477/2011 du 13 juillet 2012 consid. 4.1.3 ; ATA 1244/2017 du 29 août 2017 consid. 6a ; ATA/265/2016 du 22 mars 2016).</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ATA/265/2016 précité ; ATA/87/2015 du 20 janvier 2015). 11) Il découle de la jurisprudence du Tribunal fédéral (arrêt 2C_239/2013 du 25 mai 2014 consid. 6.3) que la circulaire précitée est à prendre en compte lors de l’application des dispositions de la LIFD qui régissent les cas de restructuration de sociétés. 12) La circulaire précise notamment (ch. 4.3.1) que, lors d’une scission, une société (société transférante) transfère une ou plusieurs parts de son patrimoine à une autre société (société reprenante) contre l’octroi de droits de participation à ses titulaires de parts (« scission verticale »). Lors d’une scission, une société est décomposée en deux ou plusieurs sociétés parallèles ou sociétés sœurs. La scission symétrique désigne le fractionnement en sociétés sœurs et la scission asymétrique qualifie le fractionnement en sociétés parallèles. Dans une scission symétrique, les titulaires de parts conservent leurs droits de participation dans les entités issues de la scission dans les mêmes proportions que dans la société scindée.</w:t>
      </w:r>
    </w:p>
    <w:p>
      <w:r>
        <w:t>Il ne peut y avoir scission sans incidence fiscale que si une part appropriée des fonds propres (capital-actions et/ou réserves ouvertes) est transférée avec l’exploitation (ch. 4.3.2.4).</w:t>
      </w:r>
    </w:p>
    <w:p>
      <w:r>
        <w:t>Selon la pratique en vigueur, il faut interpréter les notions « exploitation » et « partie distincte d’exploitation » comme suit : « exploitation » représente</w:t>
      </w:r>
    </w:p>
    <w:p>
      <w:r>
        <w:t>- 16/20 - A/4428/2015 l’ensemble d’éléments patrimoniaux de nature organisationnelle et technique qui constitue une entité relativement autonome pour la production d’une prestation fournie par l’entreprise, alors que « partie distincte d’exploitation » est la plus petite unité d’une entreprise viable par elle-même. Une exploitation ou une partie distincte d’exploitation est reconnue si les conditions cumulatives suivantes sont remplies : a) l’entreprise effectue des prestations sur le marché ou à des entreprises apparentées ; b) l’entreprise dispose de personnel ; c) le coût du personnel est, par rapport aux recettes, conforme à l’usage. Une exploitation peut aussi comporter des actifs non nécessaires à l’exploitation (p. ex. liquidités, immeubles), à condition que l’exploitation n’occupe pas de ce fait une position subalterne, qu’elle n’ait pas été créée uniquement dans le but d’une scission en neutralité fiscale et qu’elle soit poursuivie dans le futur (ch. 4.3.2.5).</w:t>
      </w:r>
    </w:p>
    <w:p>
      <w:r>
        <w:t>S’agissant plus spécifiquement des sociétés de gestion de fortune et des sociétés holding, la circulaire précise que la détention et l’administration de titres qui ne servent qu’aux propres placements ne constituent jamais une exploitation, même dans le cas d’une importante fortune. Une scission de sociétés holding sans incidence fiscale est uniquement possible pour autant que les conditions nécessaires d’une restructuration fiscalement neutre soient remplies (conditions cumulatives), soit que : a) les participations soient, en valeur, principalement des participations de sociétés actives ; b) les participations représentent en majorité au moins 20 % du capital-actions ou du capital social des autres sociétés ou qu’elles permettent d’exercer d’une autre façon une influence déterminante sur ces sociétés (p. ex. par le truchement d’une convention d’actionnaires) ; c) les sociétés holding existantes après la scission exercent effectivement une activité holding (coordination de l’activité commerciale de plusieurs sociétés filiales, direction stratégique) avec du propre personnel ou du personnel mandaté ; d) les sociétés holding continuent à exister après la scission (ch. 4.3.2.6).</w:t>
      </w:r>
    </w:p>
    <w:p>
      <w:r>
        <w:t>Si des actifs isolés – par exemple des immeubles – font l’objet d’un transfert dans une société-sœur, les conditions d’une scission fiscalement neutre (exigence de l’exploitation) ne sont pas remplies. Les réserves latentes transférées sont également soumises à l’impôt sur le bénéfice si la société reprenante poursuit déjà une exploitation ou si plusieurs sociétés réunissent des actifs isolés par le biais d’une séparation dans une nouvelle exploitation (ch. 4.3.2.13). 13) Dans le domaine des prestations appréciables en argent, les autorités fiscales doivent apporter la preuve que la société a fourni une prestation et qu'elle n'a pas obtenu de contre-prestation ou une contre-prestation insuffisante (ATF 138 II 57 consid. 7.1 ; 133 II 153 consid. 4.3). Si les preuves recueillies par l'autorité fiscale fournissent suffisamment d'indices révélant l'existence d'une telle disproportion, il appartient alors au contribuable d'établir l'exactitude de ses allégations (arrêts du Tribunal fédéral 2C_554/2013 du 30 janvier 2014 consid. 2.2 ; 2C_644/2013 du 21 octobre 2013 consid. 3.2 ; 2C_797/2012 du 31 juillet 2013 consid. 2.2 et</w:t>
      </w:r>
    </w:p>
    <w:p>
      <w:r>
        <w:t>- 17/20 - A/4428/2015 2.2.1). Il en va de même lorsque la présentation des faits par l'autorité est vraisemblable selon l'expérience de la vie. Dans ces situations, le fardeau de la preuve des allégations contraires à celles de l'administration repose alors sur le contribuable (arrêts du Tribunal fédéral 2C_818/2012 du 21 mars 2013 consid. 6.2 ; 2C_199/2009 du 14 septembre 2009 consid. 3.1). 14) En l'espèce, il ressort du dossier que lors de la scission du 7 décembre 2010 opérée au sein de C______ SA, cette dernière a transféré une partie de son exploitation à la société reprenante, soit le total de la participation qu'elle détenait dans D______ SA. Il ressort du dossier que cette participation était composée du total de l'actif net de D______ SA pour un montant global de CHF 886'419.- et qu'après la scission, F______SA se composait d'un capital social de CHF 100'000.-, d'une réserve générale de CHF 20'000.- et d'« autres réserves » à hauteur de CHF 766'419.-, ce qui correspondait exactement, selon le projet de scission, à la composition de D______ SA avant la scission. Il résulte également que, suite à la scission, C______ SA a réduit son capital-actions de CHF 100'000.-.</w:t>
      </w:r>
    </w:p>
    <w:p>
      <w:r>
        <w:t>D'après les principes énoncés plus haut, lorsque l'actionnaire des sociétés impliquées dans la scission agit dans le cadre de sa fortune commerciale, l'opération reste neutre fiscalement pour autant qu'il reçoive des titres et non des espèces et qu'il n'en profite pas pour augmenter la valeur fiscalement déterminante de ses participations. Or, dans le cas concret, il apparaît que l'ensemble du capital transféré lors de la scission a été comptabilisé à sa valeur comptable, aucune plus-value n'ayant été enregistrée ; de même, le contribuable n'a reçu aucun versement en espèces à titre par exemple de remboursement de titres détenus ou de distribution de dividende, à l'exception de l'attribution de 5'000 actions de CHF 10.-, montant qui a été inclus dans la fortune imposable des contribuables et qui n'est pas litigieux en l'espèce.</w:t>
      </w:r>
    </w:p>
    <w:p>
      <w:r>
        <w:t>Au vu de ce qui précède, le transfert d'actifs opéré lors de la scission respecte les principes susmentionnés en matière de neutralité fiscale. 15) Il s'agit encore de vérifier si la scission remplit les conditions de neutralité fiscale au sens de la circulaire.</w:t>
      </w:r>
    </w:p>
    <w:p>
      <w:r>
        <w:t>En premier lieu, il sied de relever que le transfert de la participation de D______ SA à F______SA constitue bel et bien un transfert d'exploitation au sens de la circulaire et que, même si C______ SA n'a pas été reconnue comme société holding pendant l'année 2010, elle exerçait concrètement et exerce toujours une telle activité.</w:t>
      </w:r>
    </w:p>
    <w:p>
      <w:r>
        <w:t>S’agissant des sociétés de gestion de fortune et des sociétés holding, la circulaire précise qu'une scission sans incidence fiscale est uniquement possible pour autant que les conditions d’une restructuration fiscalement neutre soient</w:t>
      </w:r>
    </w:p>
    <w:p>
      <w:r>
        <w:t>- 18/20 - A/4428/2015 remplies, soit que : a) les participations soient, en valeur, principalement des participations de sociétés actives ; b) les participations représentent en majorité au moins 20 % du capital-actions ou du capital social des autres sociétés ou qu’elles permettent d’exercer d’une autre façon une influence déterminante sur ces sociétés ; c) les sociétés holding existantes après la scission exercent effectivement une activité holding (coordination de l’activité commerciale de plusieurs sociétés filiales, direction stratégique) avec du propre personnel ou du personnel mandaté ; d) les sociétés holding continuent à exister après la scission (ch. 4.3.2.6).</w:t>
      </w:r>
    </w:p>
    <w:p>
      <w:r>
        <w:t>Le fait que, lors de la scission, une seule participation a été transférée est sans incidence, la question déterminante étant qu'il s'agisse bel et bien de participations. Il n'est d'ailleurs pas contesté que D______ SA soit une société active et la participation détenue représente plus de 20 % du capital des autres sociétés.</w:t>
      </w:r>
    </w:p>
    <w:p>
      <w:r>
        <w:t>De même, et comme déjà mentionné, C______ SA et F______SA exercent toutes deux, concrètement, une activité de holding. Les comptes commerciaux 2011 de F______SA font d'ailleurs état, de manière certes limitée, de charges de personnel ; il sied de préciser qu'il n'est pas anodin que les sociétés nouvellement créées ne disposent pas encore de personnel et ne réalisent pas ou peu de recettes pendant la première année d'exercice, ce qui ne peut pas suffire pour prouver l'absence totale d'activité desdites sociétés.</w:t>
      </w:r>
    </w:p>
    <w:p>
      <w:r>
        <w:t>Au vu de ce qui précède, et alors que le fardeau lui incombait, l'AFC-GE n'est pas parvenue à démontrer que l'opération du 7 décembre 2010 aurait été constitutive d'une prestation appréciable en argent, taxable dans la personne de l’actionnaire. Il n'est par conséquent pas possible de retenir que ladite opération ne remplit pas les conditions de neutralité fiscale prévues par la circulaire, étant rappelé que la circulaire a, en tout état de cause, une portée limitée, les ordonnances administratives n'ayant pas de force obligatoire et étant uniquement l’expression de l’opinion de l’autorité qui les a émises (ATF 117 Ib 225, consid. 4.b).</w:t>
      </w:r>
    </w:p>
    <w:p>
      <w:r>
        <w:t>En conséquence, il sied d'octroyer la neutralité fiscale à la scission en cause, de sorte que les réserves ouvertes de CHF 235'926.- réalisées lors de cette opération ne doivent pas être imposées auprès des recourants, tant au niveau fédéral que cantonal, conformément aux art. 20 al. 1 let. c LIFD et art. 22 al. 1 let. c LIPP. 16) Compte tenu de ce qui précède, le recours sera admis, le jugement du TAPI sera annulé ainsi que la décision sur réclamation de l'AFC-GE du 20 novembre 2015. Le dossier sera retourné à cette dernière afin qu’elle rectifie les taxations des recourants pour l’IFD et l’ICC 2010.</w:t>
      </w:r>
    </w:p>
    <w:p>
      <w:r>
        <w:t>- 19/20 - A/4428/2015 17) Malgré l'issue du litige, aucun émolument ne sera mis à la charge de l’administration fiscale cantonale qui défend ses décisions de taxation (art. 87 al. 1 2ème phrase LPA). Une indemnité de procédure globale de CHF 1'000.- sera allouée aux recourants, pris conjointement et solidairement,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