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ATA/1517/2017 vom 21. November 2017</w:t>
      </w:r>
    </w:p>
    <w:p>
      <w:r>
        <w:t>GE Cour de justice, 2017-11-21, FR</w:t>
      </w:r>
    </w:p>
    <w:p>
      <w:r>
        <w:rPr>
          <w:b/>
        </w:rPr>
        <w:t xml:space="preserve">Quelle: </w:t>
      </w:r>
      <w:r>
        <w:t>https://mcp.opencaselaw.ch/entscheid/ge_gerichte_ATA_1517_2017</w:t>
      </w:r>
    </w:p>
    <w:p>
      <w:r>
        <w:t>FR: GE_GERICHTE ATA/1517/2017 du 21 novembre 2017</w:t>
      </w:r>
    </w:p>
    <w:p>
      <w:r>
        <w:t>IT: GE_GERICHTE ATA/1517/2017 del 21 novembre 2017</w:t>
      </w:r>
    </w:p>
    <w:p>
      <w:pPr>
        <w:pStyle w:val="Heading2"/>
      </w:pPr>
      <w:r>
        <w:t>Erwägungen</w:t>
      </w:r>
    </w:p>
    <w:p>
      <w:r>
        <w:rPr>
          <w:b/>
        </w:rPr>
        <w:t>E. 21</w:t>
      </w:r>
    </w:p>
    <w:p>
      <w:r>
        <w:t>novembre 2016. L’intéressé s’est opposé physiquement à son renvoi. Compte tenu de l’impossibilité d’effectuer un vol spécial pour Alger, l'exécution de la décision de renvoi entrée en force ne peut être assurée qu’avec la coopération de l'étranger, malgré les efforts des autorités suisses. La décision exécutoire de renvoi du recourant ne peut en conséquence pas être exécutée en raison du comportement de celui-ci.</w:t>
      </w:r>
    </w:p>
    <w:p>
      <w:r>
        <w:t>Le principe de la détention pour insoumission est conforme à la loi. 7)</w:t>
      </w:r>
    </w:p>
    <w:p>
      <w:r>
        <w:t>Le recourant se plaint de la durée de son incarcération, tout en admettant qu’elle n’est pas qu’administrative, ainsi que d’une violation du principe de la proportionnalité.</w:t>
      </w:r>
    </w:p>
    <w:p>
      <w:r>
        <w:t>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w:t>
      </w:r>
    </w:p>
    <w:p>
      <w:r>
        <w:t>- 9/12 - A/4285/2017 cités ; arrêt du Tribunal fédéral 1P.269/2001 du 7 juin 2001 consid. 2c ; ATA/189/2015 du 18 février 2015 consid. 7a).</w:t>
      </w:r>
    </w:p>
    <w:p>
      <w:r>
        <w:t>À teneur de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t>b. Effectivement détenu depuis le 6 juin 2016, seuls deux mois et demi, entre le 31 octobre 2016 et le 11 janvier 2017, puis un mois et demi, à savoir depuis le 7 octobre 2017, concernent de la détention administrative, soit environ quatre mois au total. Par ailleurs, le recourant n’a été placé en détention pour insoumission qu’à compter du 22 novembre 2016, après avoir refusé de prendre place sur un vol à destination d’Alger. En conséquence si l’intéressé se trouve depuis bientôt dix-huit mois en prison, il s’agit pour quatorze, de détention pénale et seulement pour trois mois environ de détention administrative au motif de l’insoumission.</w:t>
      </w:r>
    </w:p>
    <w:p>
      <w:r>
        <w:t>Compte tenu de l’attitude du recourant, de ses déclarations constantes refusant son retour vers l’Algérie, de son obstruction physique à son renvoi, aucune mesure moins incisive n’est apte à l’inciter à partir de son propre gré. La détention pour insoumission respecte le principe de la proportionnalité. Le taux de 78% d’échec de la mesure dont le recourant tente de tirer argument, n’est pas pertinent. De surcroît, l’intimé, à juste titre, rappelle la jurisprudence du Tribunal fédéral selon laquelle « il apparaît paradoxal qu’un détenu puisse être libéré parce qu’il continue de remplir la condition justifiant sa détention sur la base de l’art. 78 LEtr » (arrêt du Tribunal fédéral 2C_984/2013 du 14 novembre 2013, consid. 3.4.5).</w:t>
      </w:r>
    </w:p>
    <w:p>
      <w:r>
        <w:t>En conséquence, au vu des principes rappelés ci-dessus, la détention pour insoumission reste proportionnée, respecte la durée admissible en vertu de l’art. 79 LEtr, et remplit par conséquent les conditions matérielles de l’art. 78 al. 1 LEtr. 8)</w:t>
      </w:r>
    </w:p>
    <w:p>
      <w:r>
        <w:t>Le recourant invoque une non-conformité de la détention pour insoumission à des normes conventionnelles.</w:t>
      </w:r>
    </w:p>
    <w:p>
      <w:r>
        <w:t>- 10/12 - A/4285/2017</w:t>
      </w:r>
    </w:p>
    <w:p>
      <w:r>
        <w:t>Or, la LEtr a été adaptée pour tenir compte de la directive sur le retour. Aujourd’hui, « le texte de la loi suisse apparaît conforme à cette directive » (Gregor CHATTON/Laurent MERZ, op. cit., p. 753).</w:t>
      </w:r>
    </w:p>
    <w:p>
      <w:r>
        <w:t>Par ailleurs, le recourant se trompe lorsqu’il retient un caractère punitif à la détention pour insoumission. Celle-ci a un caractère incitatif pour faire changer le détenu de comportement. À juste titre, l’intimé relève que, soumise à des contrôles réguliers, elle s’oppose au prononcé d’une sanction, examinée une seule fois. La détention pour insoumission peut être levée par la collaboration du détenu. Elle n’est en conséquence pas contraire à l’art. 5 CEDH et à la CST.</w:t>
      </w:r>
    </w:p>
    <w:p>
      <w:r>
        <w:t>Le grief tiré de la violation de dispositions conventionnelles est infondé. 9)</w:t>
      </w:r>
    </w:p>
    <w:p>
      <w:r>
        <w:t>Le recourant se plaint d’une inégalité de traitement.</w:t>
      </w:r>
    </w:p>
    <w:p>
      <w:r>
        <w:t>a.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138 V 176 consid. 8.2 ; arrêts du Tribunal fédéral 2C_774/2014 du 21 juillet 2017 consid. 9.1 ; 2C_66/2015 du 13 septembre 2016 consid. 6.1 ; 8C_779/2015 du 8 août 2016 consid. 9.2 ; 1C_564/2015 du 2 juin 2016 consid. 3.1 ; ATA/610/2017 du 30 mai 2017 ; Vincent MARTENET, Géométrie de l'égalité, 2003, p. 260 ss).</w:t>
      </w:r>
    </w:p>
    <w:p>
      <w:r>
        <w:t>b. En l’espèce, on peine à comprendre de quelle inégalité de traitement le recourant entend se prévaloir, ce d’autant plus qu’il se trompe lorsqu’il affirme qu’aucun renvoi forcé n’est possible. Le Tribunal fédéral a récemment rappelé que si l'Algérie n'acceptait effectivement pas le rapatriement de ses ressortissants par des vols spéciaux, les renvois sous la contrainte à destination de ce pays pouvaient être effectués sur des vols de ligne (arrêt du Tribunal fédéral 2C_47/2017 du 9 février 2017 consid. 5.4 et les références citées ; ATA/1174/2017 du 8 août 2017 consid. 8b).</w:t>
      </w:r>
    </w:p>
    <w:p>
      <w:r>
        <w:t>Peu détaillé, ce grief sera écarté. 10) L’argument de l’absence de laissez-passer tombe à faux au vu de la pièce produite par l’intimé.</w:t>
      </w:r>
    </w:p>
    <w:p>
      <w:r>
        <w:t>- 11/12 - A/4285/2017</w:t>
      </w:r>
    </w:p>
    <w:p>
      <w:r>
        <w:t>L’absence de commission de nouvelle infraction est sans pertinence, d’autant moins que le recourant a mis le feu, il y a moins d’une année, à sa cellule à Frambois. 11) Entièrement mal fondé, le recours sera donc rejeté.</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