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ATA/1515/2017 vom 21. November 2017</w:t>
      </w:r>
    </w:p>
    <w:p>
      <w:r>
        <w:t>GE Cour de justice, 2017-11-21, FR</w:t>
      </w:r>
    </w:p>
    <w:p>
      <w:r>
        <w:rPr>
          <w:b/>
        </w:rPr>
        <w:t xml:space="preserve">Quelle: </w:t>
      </w:r>
      <w:r>
        <w:t>https://mcp.opencaselaw.ch/entscheid/ge_gerichte_ATA_1515_2017</w:t>
      </w:r>
    </w:p>
    <w:p>
      <w:r>
        <w:t>FR: GE_GERICHTE ATA/1515/2017 du 21 novembre 2017</w:t>
      </w:r>
    </w:p>
    <w:p>
      <w:r>
        <w:t>IT: GE_GERICHTE ATA/1515/2017 del 21 novembre 2017</w:t>
      </w:r>
    </w:p>
    <w:p>
      <w:pPr>
        <w:pStyle w:val="Heading2"/>
      </w:pPr>
      <w:r>
        <w:t>Regeste</w:t>
      </w:r>
    </w:p>
    <w:p>
      <w:r>
        <w:t>Résumé: Recours contre la délivrance d'une autorisation de construire un habitat groupé. Absence de violation du droit d'être entendu par le TAPI. Pièces à joindre à la demande d'autorisation de construire et but de ces pièces. Chemin privé en copropriété menant à la future construction et sur laquelle des places de stationnement seront déplacées ; personnes devant signer la requête d'autorisation en tant que propriétaire dans ce contexte. Question de l'équipement du terrain au regard du chemin d'accès menant à la future construction. Largeur du chemin non tranchée par le DALE, des procédures d'infraction sur cette question étant pendantes. Préavis de la DGT pas clair quant à savoir sur la base de quelle largeur de chemin il a été rendu. Examen de la DGT insuffisant pour déterminer si le chemin le moins large en tout état de cause suffisant pour considérer le terrain comme équipé. Recours partiellement admis, autorisation annulée et dossier renvoyé au DALE.</w:t>
      </w:r>
    </w:p>
    <w:p>
      <w:pPr>
        <w:pStyle w:val="Heading2"/>
      </w:pPr>
      <w:r>
        <w:t>Erwägungen</w:t>
      </w:r>
    </w:p>
    <w:p>
      <w:r>
        <w:rPr>
          <w:b/>
        </w:rPr>
        <w:t>E. 12</w:t>
      </w:r>
    </w:p>
    <w:p>
      <w:r>
        <w:t>septembre 1985 - LPA - E 5 10). 2)</w:t>
      </w:r>
    </w:p>
    <w:p>
      <w:r>
        <w:t>Le litige porte sur la conformité au droit du jugement du TAPI confirmant l’autorisation de construire délivrée par l’autorité intimée à MM. CAUDERAY. 3)</w:t>
      </w:r>
    </w:p>
    <w:p>
      <w:r>
        <w:t>Les recourants demandent à la chambre administrative une expertise pour clarifier les modalités d’applications des normes VSS et reprochent au TAPI d’avoir violé leur droit d’être entendus.</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w:t>
      </w:r>
    </w:p>
    <w:p>
      <w:r>
        <w:t>- 11/23 - A/1418/2016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w:t>
      </w:r>
    </w:p>
    <w:p>
      <w:r>
        <w:rPr>
          <w:b/>
        </w:rPr>
        <w:t>E. 16</w:t>
      </w:r>
    </w:p>
    <w:p>
      <w:r>
        <w:t>novembre 2015.</w:t>
      </w:r>
    </w:p>
    <w:p>
      <w:r>
        <w:t>Au surplus, la voie d’accès à l’habitat groupé par la parcelle no 1'831 a au besoin encore été confirmée par les nouveaux plans versés à la procédure les 25 novembre puis 1er décembre 2015.</w:t>
      </w:r>
    </w:p>
    <w:p>
      <w:r>
        <w:t>En ce qui concerne la largeur du chemin, les plans versés à la procédure – mentionnant des largeurs libres de passage différentes entre le 25 novembre et le 1er décembre 2015, soit 4 puis 6 m – ainsi que les observations des époux MESTRE du 16 novembre 2015 et la réponse du bureau d’architectes du 30 novembre 2015 mettent en lumière la problématique objet de la présente procédure, de sorte que la DGT en avait pleinement connaissance en rendant son second préavis, de même que l’autorité intimée lors du prononcé de la décision litigieuse, et que tout éventuel opposant disposait des éléments suffisants à exercer ses droits et décider de l’opportunité de recourir.</w:t>
      </w:r>
    </w:p>
    <w:p>
      <w:r>
        <w:t>Dans ces circonstances, même à admettre que la parcelle no 1'831 aurait dû être expressément désignée dans l’extrait du plan cadastral comme étant concernée par le projet au même titre que les parcelles nos 1'828 et 2'728, un tel vice aurait été dépourvu de toute conséquence dans le cas d’espèce, que ce soit pour l’instruction de la demande par l’autorité compétente ou pour la compréhension du projet par les personnes disposant d’un intérêt digne de protection à recourir, et n’aurait par conséquent en aucun cas constitué un motif d’annulation de la décision litigieuse, sous peine de formalisme excessif. Le grief sera dès lors écarté.</w:t>
      </w:r>
    </w:p>
    <w:p>
      <w:r>
        <w:t>- 15/23 - A/1418/2016 5)</w:t>
      </w:r>
    </w:p>
    <w:p>
      <w:r>
        <w:t>Les recourants affirment également que le formulaire d’autorisation de construire aurait dû être signé par l’ensemble des copropriétaires de la parcelle no 1'831, vu l’empiètement du projet sur une place de stationnement pour visiteurs située sur cette dernière parcelle.</w:t>
      </w:r>
    </w:p>
    <w:p>
      <w:r>
        <w:t>a. Toutes les demandes d’autorisation doivent être datées et signées par le propriétaire de l’immeuble intéressé, ainsi que par le requérant ou l'éventuel mandataire professionnellement qualifié (art. 11 al. 4 RCI).</w:t>
      </w:r>
    </w:p>
    <w:p>
      <w:r>
        <w:t>b. Selon une jurisprudence constante de la chambre administrative,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(ATA/588/2017 du 23 mai 2017 consid. 3d et les références citées).</w:t>
      </w:r>
    </w:p>
    <w:p>
      <w:r>
        <w:t>c. En l’espèce, les seules personnes ayant signé le formulaire de demande d’autorisation de construire dans la case destinée aux propriétaires sont MM. CAUDERAY, en leur qualité de propriétaires des parcelles nos 1'827 et 2'728. Le formulaire n’a ainsi pas été signé par l’ensemble des copropriétaires de la parcelle no 1'831.</w:t>
      </w:r>
    </w:p>
    <w:p>
      <w:r>
        <w:t>Toutefois, si le projet de construction implique du trafic supplémentaire sur la parcelle no 1'831, aucuns travaux n’y sont projetés, sous réserve du déplacement de deux places de stationnement pour visiteurs. Sur ce point, il ressort du plan DDC 007 que les quatre places de stationnement pour les visiteurs des parcelles nos 1'827 à 1'830 se trouvent aujourd’hui sur la parcelle no 1'831 et que le projet litigieux implique simplement le déplacement de deux d’entre elles, soit celles pour les visiteurs des parcelles nos 1'827 et 1'828, pour les placer en partie sur la parcelle no 1'827, ayant pour effet de libérer l’espace de la parcelle no 1'831 nécessaire à assurer l’accès au garage souterrain prévu par le projet litigieux. Il ne s’agit donc pas de prévoir des nouvelles places de stationnement pour visiteurs sur la parcelle no 1'831 ou encore de supprimer de telles places de stationnement, mais uniquement de déplacer deux des quatre places existantes sur cette parcelle pour les placer à cheval avec la parcelle no 1'827.</w:t>
      </w:r>
    </w:p>
    <w:p>
      <w:r>
        <w:t>Le projet autorisé ne prévoit en définitive qu’une modification mineure de la situation de la parcelle no 1'831, laquelle n’implique ni constructions ni empiètement, contrairement à ce qu’affirment les recourants, puisqu’il s’agit simplement d’une libération d’espace sur la parcelle no 1'831, compensée par la mise à disposition d’une petite partie de la parcelle no 1'827 pour préserver les deux places pour les visiteurs des parcelles nos 1'827 et 1'828.</w:t>
      </w:r>
    </w:p>
    <w:p>
      <w:r>
        <w:t>- 16/23 - A/1418/2016</w:t>
      </w:r>
    </w:p>
    <w:p>
      <w:r>
        <w:t>Dans ce contexte, et au vu du fait que la législation genevoise en matière de police des constructions n'a pas pour objet de veiller au respect des droits réels, l’art. 11 al. 4 RCI ne peut être interprété comme exigeant, dans le cas d’espèce, la signature de l’ensemble de copropriétaires de la parcelle no 1'831.</w:t>
      </w:r>
    </w:p>
    <w:p>
      <w:r>
        <w:t>L’autorité intimée était ainsi fondée à retenir qu’il n’était pas nécessaire que la demande d’autorisation de construire soit signée également par les propriétaires des parcelles nos 1'828, 1'829 et 1'830 et le grief sera écarté. 6)</w:t>
      </w:r>
    </w:p>
    <w:p>
      <w:r>
        <w:t>Les recourants se plaignent ensuite d’une constatation inexacte des faits.</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ATA/1365/2017 du 9 octobre 2017 consid. 5c). Le juge forme ainsi librement sa conviction en analysant la force probante des preuves administrées et ce n’est ni le genre, ni le nombre des preuves qui est déterminant, mais leur force de persuasion (ATA/1365/2017 précité consid. 5c et les arrêts cités).</w:t>
      </w:r>
    </w:p>
    <w:p>
      <w:r>
        <w:t>c. En l’espèce, le TAPI a retenu que la réduction de la largeur du chemin à environ 4 m était la conséquence d’aménagements illégaux et a dès lors fondé son analyse sur un chemin de 6 m.</w:t>
      </w:r>
    </w:p>
    <w:p>
      <w:r>
        <w:t>Il ressort toutefois du dossier que la question de la largeur du chemin devant être prise en considération pour examiner le projet de construction demeure à ce jour non tranchée. L’autorité intimée a en effet ouvert des procédures portant spécifiquement sur la question de la légalité des aménagements sur le chemin, lesquelles pourraient aboutir à des ordres de mise en conformité visant à rétablir une largeur de 6 m. Ces deux procédures d’infractions ont cependant été suspendues dans l’attente de l’issue du présent litige, de sorte qu’il n’est pas possible de déterminer si le chemin doit être considéré comme un chemin de 6 m de largeur ou comme un chemin de 4 m de largeur.</w:t>
      </w:r>
    </w:p>
    <w:p>
      <w:r>
        <w:t>- 17/23 - A/1418/2016</w:t>
      </w:r>
    </w:p>
    <w:p>
      <w:r>
        <w:t>Au vu de ce qui précède, la largeur du chemin à retenir dépend de deux procédures pendantes et suspendues devant l’autorité intimée, de sorte qu’il n’est en l’état pas possible d’établir ce fait. 7)</w:t>
      </w:r>
    </w:p>
    <w:p>
      <w:r>
        <w:t>Devant l’absence d’établissement de la largeur du chemin, la chambre administrative examinera si le chemin le moins large serait en tout état de cause suffisant, ce qui impliquerait que l’autorisation de construire serait conforme au droit, que la largeur du chemin à prendre en considération soit de 6 ou 4 m.</w:t>
      </w:r>
    </w:p>
    <w:p>
      <w:r>
        <w:t>a. L’art. 19 al. 1 de la loi fédérale sur l’aménagement du territoire du 22 juin 1979 (LAT - RS 700) précise qu’un terrain est réputé équipé lorsqu'il est desservi d'une manière adaptée à l'utilisation prévue notamment par des voies d'accès.</w:t>
      </w:r>
    </w:p>
    <w:p>
      <w:r>
        <w:t>Au sens de cette disposition et de l’art. 22 al. 2 let. b LAT,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ATA/1274/2017 du 12 septembre 2017 consid. 7a ; ATA/588/2017 du 23 mai 2017 consid. 4b ; André JOMINI, Commentaire de la loi fédérale sur l’aménagement du territoire, 2010, n. 19 ad art. 19).</w:t>
      </w:r>
    </w:p>
    <w:p>
      <w:r>
        <w:t>b.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n. 20 ad. art. 19). La loi n'impose toutefois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 8) a. À Genève, la DGT se fonde, en général, sur les normes VSS, qui fixent des standards de largeur de routes en fonction de leur utilisation. Si les services spécialisés peuvent s’y référer, ces normes ne constituent pas des règles de droit et ne lient en principe pas les autorités (arrêt du Tribunal fédéral 1C_430/2015 précité consid. 3.2). Leur application doit respecter les principes généraux du droit, dont en particulier celui de la proportionnalité (ATA/1274/2017 précité</w:t>
      </w:r>
    </w:p>
    <w:p>
      <w:r>
        <w:t>- 18/23 - A/1418/2016 consid. 7c et les références citées ; Piermarco ZEN-RUFFINEN/Christine GUY-ECABERT, Aménagement du territoire, construction, expropriation, 2001, p. 326 n. 703).</w:t>
      </w:r>
    </w:p>
    <w:p>
      <w:r>
        <w:t>b. La norme VSS 640 050 s’applique aux accès riverains, soit aux raccordements destinés à l’usage de véhicules privés (entrées et sorties privées) entre une route publique prioritaire et un bien-fonds générant un trafic de faible intensité (ch. 1 norme VSS 640 050). Les recommandations contenues dans cette norme se réfèrent à des biens-fonds ne comportant pas plus d’une quarantaine de cases ou de places de stationnement pour voitures (ch. 2 1ère phr. norme VSS 640 050).</w:t>
      </w:r>
    </w:p>
    <w:p>
      <w:r>
        <w:t>Les règles pour l’établissement des accès riverains (accès latéral) sont contenues en principe dans le groupe de normes « Types de routes ». Le tableau 1 fixe les différents types d’accès riverains en fonction du trafic généré par le bien-fonds concerné (ch. 4 norme VSS 640 050).</w:t>
      </w:r>
    </w:p>
    <w:p>
      <w:r>
        <w:t>Lorsque le bien-fonds comporte environ quinze à quarante places de stationnement, il s’agit d’un accès riverain de type A/B si l’accès riverain débouche sur une route de desserte de quartier, de type B s’il débouche sur une route collectrice de quartier ou une route de liaison locale et de type C s’il débouche sur route collectrice principale, une route de liaison régionale ou une route principale (tableau 1 norme VSS 640 050). En cas de circulation dans les deux sens, les accès riverains de type A doivent avoir une largeur de 3 m, ceux de type B une largeur de 5 m et ceux de type C de 5,5 m (tableau 2 norme VSS 640 050).</w:t>
      </w:r>
    </w:p>
    <w:p>
      <w:r>
        <w:t>c. La norme VSS 640 040b règle les types de route. Les routes peuvent avoir les fonctions de desservir – assurer l’accès aux parcelles et aux bâtiments –, collecter – collecter la circulation dans les espaces bâtis –, relier – relier les zones habitées, des parties d’agglomération de quartiers et d’autres aménagements générateurs de trafic –, transiter – transiter la part de trafic étranger à une zone habitée en lui offrant des possibilités de contournement (ch. 6 norme VSS 640 040b). Dans un réseau routier, une distinction est faite entre les routes d’importance (1) internationale et nationale, (2) interrégionale, (3) régionale, (4) interlocalité, (5) locale ou (6) de quartier. Les quatre premiers niveaux se rapportent à des routes en dehors des espaces bâtis, là où la fonction « relier » est dominante. Les deux derniers niveaux se rapportent à des routes situées à l’intérieur des espaces bâtis. Par espace bâti, on entendu non seulement l’intérieur de l’agglomération, signalé par une limitation de vitesse, mais aussi une zone habitée à faible densité (ch. 7 norme VSS 640 040b). Selon les descriptions des ch. 4 à 7, on distingue cinq type de routes : (1) les routes à grand débit, (2) les routes principales, (3) les routes de liaison, (4) les routes collectrices et (5) les routes de desserte (ch. 8 norme VSS 640 040b). La route de desserte revêt une</w:t>
      </w:r>
    </w:p>
    <w:p>
      <w:r>
        <w:t>- 19/23 - A/1418/2016 importance de quartier, vise la desserte parcellaire et est fréquentée par les transports publics seulement à titre exceptionnel (tableau 2 norme VSS 640 040b).</w:t>
      </w:r>
    </w:p>
    <w:p>
      <w:r>
        <w:t>d. La norme VSS 640 045 est valable pour les routes de desserte (ch. 1 norme VSS 640 045). Les routes de desserte sont des routes à l’intérieur des espaces bâtis qui n’ont dans le réseau routier qu’une importance de quartier. Elles desservent des parcelles ou des bâtiments et conduisent la circulation aux routes collectrices. En ce qui concerne leur affectation, elles sont d’intérêt local. Selon l’étendue et le caractère du périmètre à desservir, on fait une distinction entre les routes de desserte de quartier, les routes d’accès et les chemins d’accès (ch. 4 norme VSS 640 045). Les transports publics en trafic de ligne ne seront autorisés qu’à titre exceptionnel sur une route de desserte (ch. 5 norme VSS 640 045). Une route de desserte de quartier dessert des zone habitées jusqu’à trois cents unités de logement ou un volume de circulation d’origine équivalent (ch. 8 norme VSS 640 045). 9)</w:t>
      </w:r>
    </w:p>
    <w:p>
      <w:r>
        <w:t>Les voies publiques sont hiérarchisées en réseau routier primaire, réseau routier secondaire et réseau routier de quartier. Une carte est établie à cette fin (art. 3 de la loi sur les routes du 28 avril 1967 - LRoutes - L 1 10). Le réseau routier primaire a pour fonction d’assurer des échanges fluides entre les différents secteurs de l’agglomération, ainsi qu’entre l’agglomération et le territoire qui l’entoure (art. 3A al. 1 LRoutes). Le réseau routier secondaire a pour fonction d’assurer des échanges, notamment entre les différents quartiers (art. 3A al. 2 LRoutes). Le réseau routier de quartier a pour fonction de desservir les habitants et les activités (art. 3A al. 3 LRoutes). La continuité de la circulation est garantie à chaque intersection du réseau primaire et/ou du réseau secondaire (art. 3B al. 1 LRoutes). Les réseaux primaire et secondaire sont affectés prioritairement au trafic motorisé public et privé. Leur aménagement est conçu dans ce sens (art. 3B al. 2 LRoutes). Les lignes de transports publics à fréquence élevée font, en principe, partie du réseau primaire ou secondaire (art. 3B al. 3 LRoutes). 10) a. Le DALE peut refuser des autorisations de construire lorsqu’une construction ou une installation peut être la cause d’inconvénients graves pour les usagers, le voisinage ou le public (let. a), ne remplit pas les conditions de sécurité et de salubrité qu’exige son exploitation ou son utilisation (let. b), ne remplit pas des conditions de sécurité et de salubrité suffisantes à l’égard des voisins ou du public (let. c), offre des dangers particuliers (notamment incendie, émanations nocives ou explosions), si la surface de la parcelle sur laquelle elle est établie est insuffisante pour constituer une zone de protection (let. d), peut créer, par sa nature, sa situation ou le trafic que provoque sa destination ou son exploitation, un danger ou une gêne durable pour la circulation (let. e ; art. 14 al. 1 LCI).</w:t>
      </w:r>
    </w:p>
    <w:p>
      <w:r>
        <w:t>b. Cette disposition appartient aux normes de protection qui sont destinées à sauvegarder les particularités de chaque zone, en prohibant les inconvénients</w:t>
      </w:r>
    </w:p>
    <w:p>
      <w:r>
        <w:t>- 20/23 - A/1418/2016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(ATA/1274/2017 précité consid. 8a et les références citées). 11) 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(ATA/537/2017 du 9 mai 2017 consid. 4e et les références citées). La chambre administrative est toutefois libre d’exercer son propre pouvoir d’examen lorsqu’elle procède elle-même à des mesures d’instruction, à l’instar d’un transport sur place (ATA/758/2016 du 6 septembre 2016 consid. 2 et les références citées). 12) Dans un cas concernant un projet de construction avec trente-sept places de stationnement, dans lequel le chemin d’accès – desservant déjà seize villas – mesurait 4,96 m de largeur à son endroit le plus étroit, la chambre administrative a constaté que deux véhicules pouvaient parfaitement se croiser sur un chemin d’une largeur de 5 m, que les recourants avaient eux-mêmes indiqué qu’après le double virage, si deux voitures ne pouvaient pas se croiser lorsque les places marquées au sol étaient occupées, cela ne créait pas de problème de sécurité, et que le chemin serait élargi d’1 m sur environ deux tiers de son tronçon jusqu’à l’accès au bâtiment projeté. Compte tenu de ces éléments et du fait que le chemin, sans issue, ne serait emprunté par les nouveaux habitants que sur 50 m, la chambre administrative a retenu qu’il serait disproportionné d’imposer le respect strict de la norme VSS 640 050, étant précisé qu’un passage séparé était prévu pour les piétons et les cyclistes, leur offrant une plus grande sécurité (ATA/1274/2017 précité consid. 7d).</w:t>
      </w:r>
    </w:p>
    <w:p>
      <w:r>
        <w:t>Dans un cas antérieur, dans lequel les deux chemins concernés ont été qualifiés de type A/B, la chambre administrative a constaté que deux voitures de tourisme de dimensions moyennes pouvaient se croiser à vitesse très réduite sur le premier chemin, d’une largeur de 5,05 m. Vu la largeur de 5,1 m du second chemin, les deux chemins respectaient les exigences de la norme VSS 640 050</w:t>
      </w:r>
    </w:p>
    <w:p>
      <w:r>
        <w:t>- 21/23 - A/1418/2016 pour les accès riverains de types A/B avec circulation dans les deux sens (ATA/699/2015 du 30 juin 2015 consid. 5).</w:t>
      </w:r>
    </w:p>
    <w:p>
      <w:r>
        <w:t>Dans une autre affaire, dans laquelle l’accès riverain menait à une route de desserte de quartier et devant donc respecter les exigences géométriques et d’exploitation des types A/B, la chambre de céans a constaté qu’une largeur d’environ 6,5 m sur le premier tronçon, de 4 à 5 m sur le tronçon principal et de 3,5 m sur le dernier trançon respectait la norme VSS 640 050 préconisant une largeur de 3 à 5 m pour les accès riverains de types A ou B avec circulation dans les deux sens (ATA/98/2012 du 21 janvier 2012 consid. 10). Toutefois, le droit de passage bénéficiant aux parcelles concernées n’atteignait pas les standards préconisés par la norme VSS 640 050 pour le type d’accès riverain dont il était question, puisque sur 59 m de long, il disposait d’une largeur inférieure au minimum de 3 m exigé, et son tracé particulier, qui comportait notamment deux angles à 90°, induisait un manque de visibilité et des possibilités de croisement restreintes en compromettant l’utilisation. La chambre administrative a ainsi admis les recours et annulé l’autorisation de construire (ATA/98/2012 précité consid. 11). 13) En l’espèce, l’autorité intimée a suivi le préavis positif de la DGT.</w:t>
      </w:r>
    </w:p>
    <w:p>
      <w:r>
        <w:t>Toutefois, lors du transport sur place du 2 juin 2017, il a dans un premier temps été indiqué que le préavis de la DGT avait été rendu sur la base d’une largeur de chemin de 6 m – ce qui concorde avec le contenu du courriel non daté de la représentante de la DGT versé par les requérants à la procédure –, puis que la situation avait été examinée à l’aune d’une largeur de 3,4 m. Il n’est ainsi pas limpide à teneur du dossier si le préavis favorable de la DGT concerne un chemin de 6 m ou un chemin moins large. En outre, la représentante de la DGT s’est référée aux normes VSS s’agissant d’un accès riverain débouchant sur une route de desserte de quartier, sans justifier que la route de la Capite réponde à cette qualification.</w:t>
      </w:r>
    </w:p>
    <w:p>
      <w:r>
        <w:t>Au vu de ce qui précède, l’examen de l’autorité technique consultative apparaît insuffisant pour déterminer si le chemin le moins large serait en tout état de cause suffisant pour considérer le terrain comme équipé au sens de la jurisprudence susmentionnée.</w:t>
      </w:r>
    </w:p>
    <w:p>
      <w:r>
        <w:t>Le grief et le recours seront par conséquent admis, le jugement du TAPI et la décision litigieuse annulés et la cause renvoyée à l’autorité intimée pour nouvel examen de l’équipement des parcelles nos 1'827 et 2'728 pour la construction projetée, notamment en établissant la largeur du chemin à prendre en considération ou, le cas échéant, en déterminant si la largeur d’environ 4 m serait suffisante, puis nouvelle décision sur la requête d’autorisation définitive de construire.</w:t>
      </w:r>
    </w:p>
    <w:p>
      <w:r>
        <w:t>- 22/23 - A/1418/2016 14) Vu l’issue du litige, un émolument de CHF 2'000 sera mis à la charge de MM. CAUDERAY, pris conjointement et solidairement (art. 87 al. 1 LPA). Une indemnité de procédure de CHF 2'000.- sera allouée aux recourants, pris conjointement et solidairement, à la charge de l’État de Genève à hauteur de CHF 1'000.- et de MM. CAUDERAY, pris conjointement et solidairement, également à hauteur de CHF 1'000.-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