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ATA/150/2014 vom 11. März 2014</w:t>
      </w:r>
    </w:p>
    <w:p>
      <w:r>
        <w:t>GE Cour de justice, 2014-03-11, FR</w:t>
      </w:r>
    </w:p>
    <w:p>
      <w:r>
        <w:rPr>
          <w:b/>
        </w:rPr>
        <w:t xml:space="preserve">Quelle: </w:t>
      </w:r>
      <w:r>
        <w:t>https://mcp.opencaselaw.ch/entscheid/ge_gerichte_ATA_150_2014</w:t>
      </w:r>
    </w:p>
    <w:p>
      <w:r>
        <w:t>FR: GE_GERICHTE ATA/150/2014 du 11 mars 2014</w:t>
      </w:r>
    </w:p>
    <w:p>
      <w:r>
        <w:t>IT: GE_GERICHTE ATA/150/2014 del 11 marzo 2014</w:t>
      </w:r>
    </w:p>
    <w:p>
      <w:pPr>
        <w:pStyle w:val="Heading2"/>
      </w:pPr>
      <w:r>
        <w:t>Erwägungen</w:t>
      </w:r>
    </w:p>
    <w:p>
      <w:r>
        <w:rPr>
          <w:b/>
        </w:rPr>
        <w:t>E. 12</w:t>
      </w:r>
    </w:p>
    <w:p>
      <w:r>
        <w:t>septembre 1985 - LPA - E 5 10). 2)</w:t>
      </w:r>
    </w:p>
    <w:p>
      <w:r>
        <w:t>La procédure de révocation du permis d’établissement en faveur du recourant ayant été initiée le 11 juin 2009, soit postérieurement à l’entrée en vigueur, le 1er janvier 2008, de la loi fédérale sur les étrangers du 16 décembre 2005 (LEtr - RS 142.20), elle est soumise à cette dernière loi (art. 126 al. 1 LEtr ; arrêts du Tribunal fédéral 2C_665/2011 du 7 décembre 2012 consid. 1 ; 2C_600/2011 du 12 janvier 2012 consid. 5.3 ; 2C_265/2011 du 27 septembre 2011 consid. 1 ; 2C_242/2011 du 23 septembre 2011 consid. 3.1 ; 2C_478/2010 du 17 novembre 2010 consid. 1, non publié aux ATF 137 II 10). 3)</w:t>
      </w:r>
    </w:p>
    <w:p>
      <w:r>
        <w:t>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64 ou 61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 4)</w:t>
      </w:r>
    </w:p>
    <w:p>
      <w:r>
        <w:t>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Le Tribunal fédéral s’en tient par ailleurs en principe à sa pratique antérieure voulant que, dans le cadre de l’examen des intérêts en présence, un</w:t>
      </w:r>
    </w:p>
    <w:p>
      <w:r>
        <w:t>- 9/14 - A/3070/2013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135 II 377 consid. 4.4 ; arrêt du Tribunal fédéral 2C_879/2010 du 19 avril 2011 consid. 2.3). 5)</w:t>
      </w:r>
    </w:p>
    <w:p>
      <w:r>
        <w:t>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p. 18 ss ; 137 II 297 consid. 3.3 p. 303 ss ; arrêts du Tribunal fédéral 2C_459/2013 du 21 octobre 2013 ; 2C_200/2013 du</w:t>
      </w:r>
    </w:p>
    <w:p>
      <w:r>
        <w:rPr>
          <w:b/>
        </w:rPr>
        <w:t>E. 16</w:t>
      </w:r>
    </w:p>
    <w:p>
      <w:r>
        <w:t>juillet 2013 consid. 3.1).</w:t>
      </w:r>
    </w:p>
    <w:p>
      <w:r>
        <w:t>En tant qu’elles lèsent ou compromettent l’intégrité corporelle des personnes, qui est un bien juridique particulièrement important, les infractions à la LStup, en particulier le trafic de stupéfiants, constituent en règle générale une atteinte « très grave » à la sécurité et à l’ordre publics. Or, une telle atteinte justifie la révocation d’un permis d’établissement au sens de l’art. 63 al. 1 let. b LEtr (ATF 137 II 297 consid. 3.3 p. 303 ; arrêts du Tribunal fédéral 2C_516/2012 du 17 octobre 2012 consid. 2.2 ; 2C_655/2011 du 7 février 2012 consid. 9.2). 6) a. En l’espèce, le recourant a été condamné le 23 mai 2007, dans le cadre d’une seule procédure, à une peine de six ans de réclusion, dont la durée est largement supérieure aux minima requis par la jurisprudence. L’existence d’un motif de révocation de son permis d’établissement au sens de l’art. 63 al. 1 let. a LEtr renvoyant à l’art. 62 let. b est réalisée.</w:t>
      </w:r>
    </w:p>
    <w:p>
      <w:r>
        <w:t>b. En outre, il a été condamné à cette lourde peine pour un trafic de stupéfiants portant sur une quantité de 7 kg d’héroïne, dont il a écoulé lui-même au moins 3 kg, forme et quantité de stupéfiants susceptibles de mettre en danger la vie de nombreuses personnes (art. 19 al. 2 let. a LStup ; ATF 122 IV 360 consid. 2 p. 363). Ce faisant, il doit également être retenu qu’il a très gravement atteint à la sécurité et à l’ordre publics en Suisse, ce qui constitue un second motif de révocation de son permis d’établissement au sens de l’art. 63 al. 1 let. b LEtr.</w:t>
      </w:r>
    </w:p>
    <w:p>
      <w:r>
        <w:t>c. Au vu de la réalisation de ces motifs, l’autorité intimée était en droit, sous l’angle du respect du principe de la légalité, de prononcer la révocation de l’autorisation du permis d’établissement du recourant (art. 63 al. 2 LEtr). 7)</w:t>
      </w:r>
    </w:p>
    <w:p>
      <w:r>
        <w:t>Selon l’art. 8 al. 1 CEDH, toute personne a droit au respect de sa vie privée et familiale, de son domicile, de sa correspondance et, selon l’art. 8 al. 2 CEDH,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w:t>
      </w:r>
    </w:p>
    <w:p>
      <w:r>
        <w:t>- 10/14 - A/3070/2013 prévention des infractions pénales, à la protection de la santé ou de la morale, ou à la protection des droits et libertés d’autrui. 8)</w:t>
      </w:r>
    </w:p>
    <w:p>
      <w:r>
        <w:t>Selon la jurisprudence (Arrêt du Tribunal fédéral 2C_462/2009 du 10 septembre 2009), 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285/286 ; 129 II 193 consid. 5.3.1 p. 211 ; 215 consid. 4.1 p. 218). Les relations visées par l’art. 8 CEDH sont avant tout celles qui existent entre époux, ainsi que les relations entre parents et enfants mineurs vivant en ménage commun (ATF 127 II 60 consid. 1d/aa p. 65 ; 120 Ib 257 consid. 1d p. 261). S’agissant d’autres relations entre proches parents,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(ATF 129 II 11 consid. 2 p. 14). 9)</w:t>
      </w:r>
    </w:p>
    <w:p>
      <w:r>
        <w:t>Le recourant vit séparé de son épouse depuis 1996. Tous ses enfants sont majeurs et il ne ressort pas du dossier soumis à la chambre de céans qu’un lien de dépendance les lie à leur père, au-delà de leurs sentiments filiaux, qui nécessite impérativement qu’il reste en Suisse. Il n’est pas contesté qu’il ait vécu trente-deux ans en Suisse. Toutefois, dans la pesée d’intérêts qui doit être faite sous l’angle de la garantie du respect de la vie privée du recourant, le temps qu’il a passé en Suisse ne peut être pris en considération, dans la mesure où il ne ressort pas qu’il se soit spécialement intégré dans ce pays. Au contraire, il y a commis de graves infractions atteignant à la sécurité générale, y a accumulé des dettes et vécu au gré des années des prestations d’assistance sociale. Il ne peut donc faire valoir aucun droit tiré de l’art. 8 § 1 CEDH pour s’opposer à la mesure prise.</w:t>
      </w:r>
    </w:p>
    <w:p>
      <w:r>
        <w:t>La révocation de son permis d’établissement sera confirmée. 10) Aux termes de l’art. 64 al. 1 let. c LEtr, tout étranger dont l’autorisation est refusée, révoquée ou qui n’est pas prolongée après un séjour autorisé est renvoyé. La décision de renvoi est assortie d’un délai de départ raisonnable (art. 64d al. 1 LEtr). 11) a.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w:t>
      </w:r>
    </w:p>
    <w:p>
      <w:r>
        <w:t>- 11/14 - A/3070/2013 disposition légale restent donc applicables (ATA/244/2012 du 24 avril 2012 ; ATA/750/2011 du 6 décembre 2011 ; ATA/848/2010 du 30 novembre 2010).</w:t>
      </w:r>
    </w:p>
    <w:p>
      <w:r>
        <w:t>b. Le renvoi d’un étranger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Il existe une telle nécessité médicale si l’exécution de la mesure de renvoi met la vie de l’étranger en danger du fait de l’impossibilité de poursuivre dans son pays un traitement médical indispensable (art. 83 al. 4 LEtr ; ATA/244/2012 précité ; ATA/159/2011 du 8 mars 2011). Selon la jurisprudence développée par le Tribunal administratif fédéral en matière de renvoi,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 ATAF 2008/34 consid. 11.2.2 ; ATAF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 STEFFEN, Droit aux soins et rationnement, Berne 2002, p. 81 ss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p. 274 ss n. 38).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E-6000/2009 du 28 septembre 2011 consid. 8.4).</w:t>
      </w:r>
    </w:p>
    <w:p>
      <w:r>
        <w:t>- 12/14 - A/3070/2013 12) En l’espèce, à teneur des rapports de l’ODM sur la situation prévalant au Kosovo en matière de soins, le recourant peut disposer des médicaments qui lui sont nécessaires pour soigner ses problèmes cardiaques ou psychiatriques. Il peut bénéficier de soins de physiothérapie même si cela implique certains déplacements, contrairement à la situation prévalant pour lui à Genève. Pour le traitement de son diabète, seul l’un des médicaments, le Starlix, n’est pas disponible. Il lui reste la possibilité de se faire prescrire un autre médicament contenant une molécule équivalente ou, si cela est impossible, de se procurer en Suisse ces comprimés en se les faisant envoyer par l’un de ses six enfants majeurs, ce qui peut raisonnablement leur être demandé. Certes, le renvoi du recourant est susceptible de compliquer les possibilités d’accès aux soins. Toutefois, dans la pesée des intérêts qui doit être faite, l’intérêt à son éloignement de Suisse prévaut sur ces aspects. L’OCPM pouvait ainsi considérer que l’exécution de cette mesure était possible et c’est à juste titre que le TAPI l’a confirmée. 13) Le recours sera rejeté. Un émolument de CHF 400.- sera mis à la charge du recourant vu l’issue de la procédure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