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ATA/150/2012 vom 20. März 2012</w:t>
      </w:r>
    </w:p>
    <w:p>
      <w:r>
        <w:t>GE Cour de justice, 2012-03-20, FR</w:t>
      </w:r>
    </w:p>
    <w:p>
      <w:r>
        <w:rPr>
          <w:b/>
        </w:rPr>
        <w:t xml:space="preserve">Quelle: </w:t>
      </w:r>
      <w:r>
        <w:t>https://mcp.opencaselaw.ch/entscheid/ge_gerichte_ATA_150_2012</w:t>
      </w:r>
    </w:p>
    <w:p>
      <w:r>
        <w:t>FR: GE_GERICHTE ATA/150/2012 du 20 mars 2012</w:t>
      </w:r>
    </w:p>
    <w:p>
      <w:r>
        <w:t>IT: GE_GERICHTE ATA/150/2012 del 20 marzo 2012</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Selon l’art. 86 LPA, la juridiction saisie d’un recours invite le recourant à faire une avance de frais destinée à couvrir les frais de procédure et les émoluments présumables. Elle fixe à cet effet un délai suffisant. Si l’avance n’est pas faite dans le délai imparti, la juridiction déclare le recours irrecevable.</w:t>
      </w:r>
    </w:p>
    <w:p>
      <w:r>
        <w:rPr>
          <w:b/>
        </w:rPr>
        <w:t>E. 3</w:t>
      </w:r>
    </w:p>
    <w:p>
      <w:r>
        <w:t>a. A rigueur de texte, la disposition légale précitée ne laisse aucune place à des circonstances extraordinaires qui justifieraient que l’avance de frais n’intervienne pas dans le délai imparti.</w:t>
      </w:r>
    </w:p>
    <w:p>
      <w:r>
        <w:t>b. La législation genevoise ne comportant pas de règle plus précise quant à la procédure à suivre pour la fixation du montant de l’émolument et du délai de paiement, les juridictions administratives sont à priori libres de s’organiser pour la mise en pratique de cette disposition légale, dans le respect cependant des garanties constitutionnelles de nature procédurale qui sont rappelées ci-après.</w:t>
      </w:r>
    </w:p>
    <w:p>
      <w:r>
        <w:t>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w:t>
      </w:r>
    </w:p>
    <w:p>
      <w:r>
        <w:t>- 4/6 - A/4339/2011 p. 253 ; 130 V 177 consid. 5.4.1 p. 183 ; 128 II 139 consid. 2a p. 142, et les arrêts cités). Ainsi en va-t-il lorsque la violation d’une règle de forme de peu d’importance entraîne une sanction grave ou disproportionnée, telle par exemple une décision d’irrecevabilité (ATA/493/2011 du 26 juillet 2011 ; ATA/356/2009 du 28 juillet 2009 ; ATA/473/2004 du 25 mai 2004 consid. 3 ; ATA/561/2003 du 23 juillet 2003 consid. 6 ; P. MOOR, Droit administratif, vol. 2, 2ème éd., Berne 2002, p. 230 ss, n. 2.2.4.6, et les références citées).</w:t>
      </w:r>
    </w:p>
    <w:p>
      <w:r>
        <w:rPr>
          <w:b/>
        </w:rPr>
        <w:t>E. 4</w:t>
      </w:r>
    </w:p>
    <w:p>
      <w:r>
        <w:t>Pour déterminer si le justiciable a respecté le délai imparti pour l’avance de frais, les juridictions administratives genevoises appliquent les principes dégagés par la jurisprudence fédérale en la matière pour les recours fédéraux. Ainsi,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9C_94/2008 du 30 septembre 2008, consid. 5.2 ; 2C_250/2009 du 2 juin 2009 ; ATA/503/2010 du 3 août 2010).</w:t>
      </w:r>
    </w:p>
    <w:p>
      <w:r>
        <w:t>En l’espèce, il est établi par les pièces que le compte bancaire de la recourante n’a pas été débité dans le délai imparti. Elle considère avoir respecté ses obligations en déposant l’ordre de paiement à la banque le 18 février 2012, dernier jour dudit délai. Ce fait n’est pas établi par les documents qu’elle a produits et il est même informé par le courriel de la banque qui fait état d’un ordre de paiement « posté » à cette date. Quoiqu’il en soit, la preuve apportée par un recourant du dépôt à la banque le dernier jour du délai d’un ordre d’acquitter une avance de frais ne permet pas de considérer qu’il a respecté le délai imparti par le tribunal. Pour que tel soit le cas, il faut que le compte soit débité à cette date. Pour que l’on puisse admettre qu’un justiciable a satisfait à ses obligations, il faut qu’il ait pris toutes dispositions pour que cette opération puisse avoir lieu, au regard des règles de fonctionnement usuel de la banque et dans le respect du délai imparti. L’état de fait dans la présente espèce diffère de celui de l’ATA/503/2010 précité, dans lequel le délai de paiement avait été considéré comme ayant été respecté par le recourant car celui-ci avait donné un ordre de paiement par télébanking bien avant l’échéance du délai imparti, la non-exécution du virement ne lui étant aucunement imputable.</w:t>
      </w:r>
    </w:p>
    <w:p>
      <w:r>
        <w:rPr>
          <w:b/>
        </w:rPr>
        <w:t>E. 5</w:t>
      </w:r>
    </w:p>
    <w:p>
      <w:r>
        <w:t>Le recours, manifestement mal fondé, sera rejeté sans autre instruction. Conformément à sa pratique, la chambre administrative ne mettra pas d’émolument à la charge de la recourante. Aucune indemnité de procédure ne lui sera allouée (art. 87 LPA).</w:t>
      </w:r>
    </w:p>
    <w:p>
      <w:r>
        <w:t>- 5/6 - A/4339/2011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